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36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Resultados </w:t>
      </w:r>
      <w:r w:rsidDel="00000000" w:rsidR="00000000" w:rsidRPr="00000000">
        <w:rPr>
          <w:b w:val="1"/>
          <w:bCs w:val="1"/>
          <w:rtl w:val="0"/>
        </w:rPr>
        <w:t xml:space="preserve">del Índice</w:t>
      </w: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 de Capacidad Estadística Territorial (ICET) </w:t>
      </w:r>
      <w:r w:rsidDel="00000000" w:rsidR="00000000" w:rsidRPr="00000000">
        <w:rPr>
          <w:b w:val="1"/>
          <w:bCs w:val="1"/>
          <w:rtl w:val="0"/>
        </w:rPr>
        <w:t xml:space="preserve">para el Anexo L. </w:t>
      </w:r>
      <w:r w:rsidDel="00000000" w:rsidR="00000000" w:rsidRPr="00000000">
        <w:rPr>
          <w:rtl w:val="0"/>
        </w:rPr>
      </w:r>
    </w:p>
    <w:p w:rsidR="00000000" w:rsidDel="00000000" w:rsidP="00000000" w:rsidRDefault="00000000" w:rsidRPr="00000000" w14:paraId="00000002">
      <w:pPr>
        <w:jc w:val="both"/>
        <w:rPr>
          <w:color w:val="000000"/>
        </w:rPr>
      </w:pPr>
      <w:r w:rsidDel="00000000" w:rsidR="00000000" w:rsidRPr="00000000">
        <w:rPr>
          <w:color w:val="000000"/>
          <w:rtl w:val="0"/>
        </w:rPr>
        <w:t xml:space="preserve">El Departamento Administrativo Nacional de Estadística (DANE), en cumplimiento de su misión institucional como coordinador del Sistema Estadístico Nacional (SEN) y para contribuir al fortalecimiento de la capacidad estadística en los territorios, presenta los resultados del Índice de Capacidad Estadística Territorial (ICET) (DANE, 2025).</w:t>
      </w:r>
    </w:p>
    <w:p w:rsidR="00000000" w:rsidDel="00000000" w:rsidP="00000000" w:rsidRDefault="00000000" w:rsidRPr="00000000" w14:paraId="00000003">
      <w:pPr>
        <w:jc w:val="both"/>
        <w:rPr>
          <w:color w:val="000000"/>
        </w:rPr>
      </w:pPr>
      <w:r w:rsidDel="00000000" w:rsidR="00000000" w:rsidRPr="00000000">
        <w:rPr>
          <w:color w:val="000000"/>
          <w:rtl w:val="0"/>
        </w:rPr>
        <w:t xml:space="preserve">El ICET es un indicador multidimensional y sistémico que mide la capacidad estadística territorial, entendida como el conjunto de conocimientos, habilidades y recursos de los que disponen los actores del ecosistema de datos en un entorno institucional para producir y usar información estadística estratégica para su desarrollo integral (Sistema de consulta de conceptos estandarizados, DANE).</w:t>
      </w:r>
    </w:p>
    <w:p w:rsidR="00000000" w:rsidDel="00000000" w:rsidP="00000000" w:rsidRDefault="00000000" w:rsidRPr="00000000" w14:paraId="00000004">
      <w:pPr>
        <w:jc w:val="both"/>
        <w:rPr>
          <w:color w:val="000000"/>
        </w:rPr>
      </w:pPr>
      <w:r w:rsidDel="00000000" w:rsidR="00000000" w:rsidRPr="00000000">
        <w:rPr>
          <w:color w:val="000000"/>
          <w:rtl w:val="0"/>
        </w:rPr>
        <w:t xml:space="preserve">La más reciente medición realizada en el 2025, con período de referencia 2024, presenta los datos de 1.133 entidades territoriales</w:t>
      </w:r>
      <w:r w:rsidDel="00000000" w:rsidR="00000000" w:rsidRPr="00000000">
        <w:rPr>
          <w:color w:val="000000"/>
          <w:vertAlign w:val="superscript"/>
        </w:rPr>
        <w:footnoteReference w:customMarkFollows="0" w:id="0"/>
      </w:r>
      <w:r w:rsidDel="00000000" w:rsidR="00000000" w:rsidRPr="00000000">
        <w:rPr>
          <w:color w:val="000000"/>
          <w:rtl w:val="0"/>
        </w:rPr>
        <w:t xml:space="preserve"> (1.081 municipios y 32 departamentos), distribuidas en las siguientes categorías: “i) departamentos ii) ciudades definidas por el DANE y que son representativas para la Gran Encuesta Integrada de Hogares (GEIH) marco 2018, excluyendo San Andrés, y las ciudades capitales que son municipios PDET: Santa Marta, Valledupar y Florencia, iii) municipios con Programas de Desarrollo con Enfoque Territorial (PDET) y iv) municipios resto del país” (DANE, 2025). </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60" w:before="0" w:line="278.00000000000006" w:lineRule="auto"/>
        <w:ind w:left="792" w:right="0" w:hanging="432"/>
        <w:jc w:val="both"/>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Resultados generales, por dimensiones y subdimensiones</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461328</wp:posOffset>
                </wp:positionH>
                <wp:positionV relativeFrom="paragraph">
                  <wp:posOffset>249312</wp:posOffset>
                </wp:positionV>
                <wp:extent cx="4692650" cy="2578100"/>
                <wp:effectExtent b="0" l="0" r="0" t="0"/>
                <wp:wrapNone/>
                <wp:docPr id="2" name=""/>
                <a:graphic>
                  <a:graphicData uri="http://schemas.microsoft.com/office/word/2010/wordprocessingShape">
                    <wps:wsp>
                      <wps:cNvSpPr/>
                      <wps:cNvPr id="3" name="Shape 3"/>
                      <wps:spPr>
                        <a:xfrm>
                          <a:off x="3012375" y="2503650"/>
                          <a:ext cx="4667250" cy="2552700"/>
                        </a:xfrm>
                        <a:prstGeom prst="rect">
                          <a:avLst/>
                        </a:prstGeom>
                        <a:gradFill>
                          <a:gsLst>
                            <a:gs pos="0">
                              <a:srgbClr val="F4B6A2"/>
                            </a:gs>
                            <a:gs pos="50000">
                              <a:srgbClr val="F1AA93"/>
                            </a:gs>
                            <a:gs pos="100000">
                              <a:srgbClr val="F49C7F"/>
                            </a:gs>
                          </a:gsLst>
                          <a:lin ang="5400000" scaled="0"/>
                        </a:gradFill>
                        <a:ln cap="flat" cmpd="sng" w="12700">
                          <a:solidFill>
                            <a:schemeClr val="accent2"/>
                          </a:solidFill>
                          <a:prstDash val="solid"/>
                          <a:miter lim="80"/>
                          <a:headEnd len="sm" w="sm" type="none"/>
                          <a:tailEnd len="sm" w="sm" type="none"/>
                        </a:ln>
                      </wps:spPr>
                      <wps:txbx>
                        <w:txbxContent>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Aptos" w:cs="Aptos" w:eastAsia="Aptos" w:hAnsi="Aptos"/>
                                <w:b w:val="0"/>
                                <w:i w:val="0"/>
                                <w:smallCaps w:val="0"/>
                                <w:strike w:val="0"/>
                                <w:color w:val="000000"/>
                                <w:sz w:val="24"/>
                                <w:vertAlign w:val="baseline"/>
                              </w:rPr>
                              <w:t xml:space="preserve">El informe de análisis debe estructurarse de manera que se separen y describan con total claridad los siguientes elementos: las causas de las mejoras, los factores de deterioro, las acciones ejecutadas desde la última evaluación y las medidas proyectadas. La redacción actual es ambigua, lo que obstaculiza la comprensión para los lectores externos al equipo.</w:t>
                            </w:r>
                          </w:p>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Aptos" w:cs="Aptos" w:eastAsia="Aptos" w:hAnsi="Aptos"/>
                                <w:b w:val="0"/>
                                <w:i w:val="0"/>
                                <w:smallCaps w:val="0"/>
                                <w:strike w:val="0"/>
                                <w:color w:val="000000"/>
                                <w:sz w:val="24"/>
                                <w:vertAlign w:val="baseline"/>
                              </w:rPr>
                            </w:r>
                            <w:r w:rsidDel="00000000" w:rsidR="00000000" w:rsidRPr="00000000">
                              <w:rPr>
                                <w:rFonts w:ascii="Aptos" w:cs="Aptos" w:eastAsia="Aptos" w:hAnsi="Aptos"/>
                                <w:b w:val="0"/>
                                <w:i w:val="0"/>
                                <w:smallCaps w:val="0"/>
                                <w:strike w:val="0"/>
                                <w:color w:val="000000"/>
                                <w:sz w:val="24"/>
                                <w:vertAlign w:val="baseline"/>
                              </w:rPr>
                              <w:t xml:space="preserve">Si bien los resultados generales son correctos, las descripciones específicas deben ajustarse. Considerando que este documento evalúa el periodo 2024, el enfoque principal debe centrarse estrictamente en las variaciones y diferencias respecto a la evaluación de 2023 o de promedio.</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461328</wp:posOffset>
                </wp:positionH>
                <wp:positionV relativeFrom="paragraph">
                  <wp:posOffset>249312</wp:posOffset>
                </wp:positionV>
                <wp:extent cx="4692650" cy="2578100"/>
                <wp:effectExtent b="0" l="0" r="0" t="0"/>
                <wp:wrapNone/>
                <wp:docPr id="2" name="image15.png"/>
                <a:graphic>
                  <a:graphicData uri="http://schemas.openxmlformats.org/drawingml/2006/picture">
                    <pic:pic>
                      <pic:nvPicPr>
                        <pic:cNvPr id="0" name="image15.png"/>
                        <pic:cNvPicPr preferRelativeResize="0"/>
                      </pic:nvPicPr>
                      <pic:blipFill>
                        <a:blip r:embed="rId8"/>
                        <a:srcRect/>
                        <a:stretch>
                          <a:fillRect/>
                        </a:stretch>
                      </pic:blipFill>
                      <pic:spPr>
                        <a:xfrm>
                          <a:off x="0" y="0"/>
                          <a:ext cx="4692650" cy="2578100"/>
                        </a:xfrm>
                        <a:prstGeom prst="rect"/>
                        <a:ln/>
                      </pic:spPr>
                    </pic:pic>
                  </a:graphicData>
                </a:graphic>
              </wp:anchor>
            </w:drawing>
          </mc:Fallback>
        </mc:AlternateContent>
      </w:r>
    </w:p>
    <w:p w:rsidR="00000000" w:rsidDel="00000000" w:rsidP="00000000" w:rsidRDefault="00000000" w:rsidRPr="00000000" w14:paraId="00000006">
      <w:pPr>
        <w:jc w:val="both"/>
        <w:rPr>
          <w:color w:val="000000"/>
        </w:rPr>
      </w:pPr>
      <w:r w:rsidDel="00000000" w:rsidR="00000000" w:rsidRPr="00000000">
        <w:rPr>
          <w:color w:val="000000"/>
          <w:rtl w:val="0"/>
        </w:rPr>
        <w:t xml:space="preserve">La medición del ICET se calcula a partir de indicadores que componen cuatro dimensiones: Entorno institucional, Infraestructura, Metodología Estadística y Accesibilidad y uso de información estadística con sus respectivas subdimensiones. Los resultados se presentan en una escala de cero a cien puntos (DANE, 2025). </w:t>
      </w:r>
    </w:p>
    <w:p w:rsidR="00000000" w:rsidDel="00000000" w:rsidP="00000000" w:rsidRDefault="00000000" w:rsidRPr="00000000" w14:paraId="00000007">
      <w:pPr>
        <w:jc w:val="both"/>
        <w:rPr>
          <w:color w:val="000000"/>
        </w:rPr>
      </w:pPr>
      <w:r w:rsidDel="00000000" w:rsidR="00000000" w:rsidRPr="00000000">
        <w:rPr>
          <w:color w:val="000000"/>
          <w:rtl w:val="0"/>
        </w:rPr>
        <w:t xml:space="preserve">De acuerdo con los resultados obtenidos en la medición del ICET 2024 para el departamento de Santander, se presenta una disminución del puntaje general del departamento respecto a las mediciones anteriores. Como se puede evidenciar en la </w:t>
      </w:r>
      <w:r w:rsidDel="00000000" w:rsidR="00000000" w:rsidRPr="00000000">
        <w:rPr>
          <w:b w:val="1"/>
          <w:bCs w:val="1"/>
          <w:color w:val="000000"/>
          <w:rtl w:val="0"/>
        </w:rPr>
        <w:t xml:space="preserve">Gráfica 1</w:t>
      </w:r>
      <w:r w:rsidDel="00000000" w:rsidR="00000000" w:rsidRPr="00000000">
        <w:rPr>
          <w:color w:val="000000"/>
          <w:rtl w:val="0"/>
        </w:rPr>
        <w:t xml:space="preserve">, el puntaje ICET pasó de 62 puntos en 2021 a 61 puntos en 2022, posteriormente a 53 puntos en 2023 y finalmente a 49 en 2024, presentando una reducción significativa frente a los resultados alcanzados en años anteriores.</w:t>
      </w:r>
    </w:p>
    <w:p w:rsidR="00000000" w:rsidDel="00000000" w:rsidP="00000000" w:rsidRDefault="00000000" w:rsidRPr="00000000" w14:paraId="00000008">
      <w:pPr>
        <w:jc w:val="center"/>
        <w:rPr>
          <w:b w:val="1"/>
          <w:bCs w:val="1"/>
          <w:color w:val="000000"/>
        </w:rPr>
      </w:pPr>
      <w:r w:rsidDel="00000000" w:rsidR="00000000" w:rsidRPr="00000000">
        <w:rPr>
          <w:b w:val="1"/>
          <w:bCs w:val="1"/>
          <w:color w:val="000000"/>
          <w:rtl w:val="0"/>
        </w:rPr>
        <w:t xml:space="preserve">Grafica 1. </w:t>
      </w:r>
      <w:r w:rsidDel="00000000" w:rsidR="00000000" w:rsidRPr="00000000">
        <w:rPr>
          <w:color w:val="000000"/>
          <w:rtl w:val="0"/>
        </w:rPr>
        <w:t xml:space="preserve">Resultado del ICET en el departamento de Santander, 2020 - 2024</w:t>
      </w:r>
      <w:r w:rsidDel="00000000" w:rsidR="00000000" w:rsidRPr="00000000">
        <w:rPr>
          <w:rtl w:val="0"/>
        </w:rPr>
      </w:r>
    </w:p>
    <w:p w:rsidR="00000000" w:rsidDel="00000000" w:rsidP="00000000" w:rsidRDefault="00000000" w:rsidRPr="00000000" w14:paraId="00000009">
      <w:pPr>
        <w:jc w:val="center"/>
        <w:rPr>
          <w:color w:val="000000"/>
          <w:sz w:val="22"/>
          <w:szCs w:val="22"/>
        </w:rPr>
      </w:pPr>
      <w:r w:rsidDel="00000000" w:rsidR="00000000" w:rsidRPr="00000000">
        <w:rPr>
          <w:color w:val="000000"/>
        </w:rPr>
        <w:drawing>
          <wp:inline distB="0" distT="0" distL="0" distR="0">
            <wp:extent cx="5010150" cy="2552700"/>
            <wp:effectExtent b="0" l="0" r="0" t="0"/>
            <wp:docPr id="4" name="image13.png"/>
            <a:graphic>
              <a:graphicData uri="http://schemas.openxmlformats.org/drawingml/2006/picture">
                <pic:pic>
                  <pic:nvPicPr>
                    <pic:cNvPr id="0" name="image13.png"/>
                    <pic:cNvPicPr preferRelativeResize="0"/>
                  </pic:nvPicPr>
                  <pic:blipFill>
                    <a:blip r:embed="rId9"/>
                    <a:srcRect b="0" l="0" r="0" t="0"/>
                    <a:stretch>
                      <a:fillRect/>
                    </a:stretch>
                  </pic:blipFill>
                  <pic:spPr>
                    <a:xfrm>
                      <a:off x="0" y="0"/>
                      <a:ext cx="5010150" cy="2552700"/>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jc w:val="center"/>
        <w:rPr>
          <w:color w:val="000000"/>
          <w:sz w:val="22"/>
          <w:szCs w:val="22"/>
        </w:rPr>
      </w:pPr>
      <w:r w:rsidDel="00000000" w:rsidR="00000000" w:rsidRPr="00000000">
        <w:rPr>
          <w:b w:val="1"/>
          <w:bCs w:val="1"/>
          <w:color w:val="000000"/>
          <w:sz w:val="22"/>
          <w:szCs w:val="22"/>
          <w:rtl w:val="0"/>
        </w:rPr>
        <w:t xml:space="preserve">Fuente:</w:t>
      </w:r>
      <w:r w:rsidDel="00000000" w:rsidR="00000000" w:rsidRPr="00000000">
        <w:rPr>
          <w:color w:val="000000"/>
          <w:sz w:val="22"/>
          <w:szCs w:val="22"/>
          <w:rtl w:val="0"/>
        </w:rPr>
        <w:t xml:space="preserve"> Elaboración propia a partir del DANE</w:t>
      </w:r>
    </w:p>
    <w:p w:rsidR="00000000" w:rsidDel="00000000" w:rsidP="00000000" w:rsidRDefault="00000000" w:rsidRPr="00000000" w14:paraId="0000000B">
      <w:pPr>
        <w:jc w:val="both"/>
        <w:rPr>
          <w:color w:val="000000"/>
        </w:rPr>
      </w:pPr>
      <w:r w:rsidDel="00000000" w:rsidR="00000000" w:rsidRPr="00000000">
        <w:rPr>
          <w:color w:val="000000"/>
          <w:rtl w:val="0"/>
        </w:rPr>
        <w:t xml:space="preserve">Al observar los resultados por dimensiones, los datos para la última medición evidencian que la dimensión de </w:t>
      </w:r>
      <w:r w:rsidDel="00000000" w:rsidR="00000000" w:rsidRPr="00000000">
        <w:rPr>
          <w:b w:val="1"/>
          <w:bCs w:val="1"/>
          <w:color w:val="000000"/>
          <w:rtl w:val="0"/>
        </w:rPr>
        <w:t xml:space="preserve">Entorno Institucional</w:t>
      </w:r>
      <w:r w:rsidDel="00000000" w:rsidR="00000000" w:rsidRPr="00000000">
        <w:rPr>
          <w:color w:val="000000"/>
          <w:rtl w:val="0"/>
        </w:rPr>
        <w:t xml:space="preserve"> presenta el mejor desempeño con 72 puntos, seguida por </w:t>
      </w:r>
      <w:r w:rsidDel="00000000" w:rsidR="00000000" w:rsidRPr="00000000">
        <w:rPr>
          <w:b w:val="1"/>
          <w:bCs w:val="1"/>
          <w:color w:val="000000"/>
          <w:rtl w:val="0"/>
        </w:rPr>
        <w:t xml:space="preserve">Metodología Estadística</w:t>
      </w:r>
      <w:r w:rsidDel="00000000" w:rsidR="00000000" w:rsidRPr="00000000">
        <w:rPr>
          <w:color w:val="000000"/>
          <w:rtl w:val="0"/>
        </w:rPr>
        <w:t xml:space="preserve"> con 49 puntos. </w:t>
      </w:r>
      <w:r w:rsidDel="00000000" w:rsidR="00000000" w:rsidRPr="00000000">
        <w:rPr>
          <w:b w:val="1"/>
          <w:bCs w:val="1"/>
          <w:color w:val="000000"/>
          <w:rtl w:val="0"/>
        </w:rPr>
        <w:t xml:space="preserve">Infraestructura</w:t>
      </w:r>
      <w:r w:rsidDel="00000000" w:rsidR="00000000" w:rsidRPr="00000000">
        <w:rPr>
          <w:color w:val="000000"/>
          <w:rtl w:val="0"/>
        </w:rPr>
        <w:t xml:space="preserve"> y </w:t>
      </w:r>
      <w:r w:rsidDel="00000000" w:rsidR="00000000" w:rsidRPr="00000000">
        <w:rPr>
          <w:b w:val="1"/>
          <w:bCs w:val="1"/>
          <w:color w:val="000000"/>
          <w:rtl w:val="0"/>
        </w:rPr>
        <w:t xml:space="preserve">Accesibilidad y Uso</w:t>
      </w:r>
      <w:r w:rsidDel="00000000" w:rsidR="00000000" w:rsidRPr="00000000">
        <w:rPr>
          <w:color w:val="000000"/>
          <w:rtl w:val="0"/>
        </w:rPr>
        <w:t xml:space="preserve"> son las dimensiones con menor puntuación, ambas con 38 puntos (</w:t>
      </w:r>
      <w:r w:rsidDel="00000000" w:rsidR="00000000" w:rsidRPr="00000000">
        <w:rPr>
          <w:b w:val="1"/>
          <w:bCs w:val="1"/>
          <w:color w:val="000000"/>
          <w:rtl w:val="0"/>
        </w:rPr>
        <w:t xml:space="preserve">Ver </w:t>
      </w:r>
      <w:r w:rsidDel="00000000" w:rsidR="00000000" w:rsidRPr="00000000">
        <w:rPr>
          <w:b w:val="1"/>
          <w:bCs w:val="1"/>
          <w:rtl w:val="0"/>
        </w:rPr>
        <w:t xml:space="preserve">Gráfica</w:t>
      </w:r>
      <w:r w:rsidDel="00000000" w:rsidR="00000000" w:rsidRPr="00000000">
        <w:rPr>
          <w:b w:val="1"/>
          <w:bCs w:val="1"/>
          <w:color w:val="000000"/>
          <w:rtl w:val="0"/>
        </w:rPr>
        <w:t xml:space="preserve"> 2</w:t>
      </w:r>
      <w:r w:rsidDel="00000000" w:rsidR="00000000" w:rsidRPr="00000000">
        <w:rPr>
          <w:color w:val="000000"/>
          <w:rtl w:val="0"/>
        </w:rPr>
        <w:t xml:space="preserve">).</w:t>
      </w:r>
    </w:p>
    <w:p w:rsidR="00000000" w:rsidDel="00000000" w:rsidP="00000000" w:rsidRDefault="00000000" w:rsidRPr="00000000" w14:paraId="0000000C">
      <w:pPr>
        <w:jc w:val="center"/>
        <w:rPr>
          <w:color w:val="000000"/>
        </w:rPr>
      </w:pPr>
      <w:r w:rsidDel="00000000" w:rsidR="00000000" w:rsidRPr="00000000">
        <w:rPr>
          <w:b w:val="1"/>
          <w:bCs w:val="1"/>
          <w:rtl w:val="0"/>
        </w:rPr>
        <w:t xml:space="preserve">Gráfica</w:t>
      </w:r>
      <w:r w:rsidDel="00000000" w:rsidR="00000000" w:rsidRPr="00000000">
        <w:rPr>
          <w:b w:val="1"/>
          <w:bCs w:val="1"/>
          <w:color w:val="000000"/>
          <w:rtl w:val="0"/>
        </w:rPr>
        <w:t xml:space="preserve"> 2.</w:t>
      </w:r>
      <w:r w:rsidDel="00000000" w:rsidR="00000000" w:rsidRPr="00000000">
        <w:rPr>
          <w:color w:val="000000"/>
          <w:rtl w:val="0"/>
        </w:rPr>
        <w:t xml:space="preserve"> Resultado del ICET por dimensión en el departamento de Santander, 2020 – 2024 </w:t>
      </w:r>
      <w:r w:rsidDel="00000000" w:rsidR="00000000" w:rsidRPr="00000000">
        <w:drawing>
          <wp:anchor allowOverlap="1" behindDoc="0" distB="0" distT="0" distL="114300" distR="114300" hidden="0" layoutInCell="1" locked="0" relativeHeight="0" simplePos="0">
            <wp:simplePos x="0" y="0"/>
            <wp:positionH relativeFrom="column">
              <wp:posOffset>-241932</wp:posOffset>
            </wp:positionH>
            <wp:positionV relativeFrom="paragraph">
              <wp:posOffset>434975</wp:posOffset>
            </wp:positionV>
            <wp:extent cx="6179820" cy="3124200"/>
            <wp:effectExtent b="0" l="0" r="0" t="0"/>
            <wp:wrapSquare wrapText="bothSides" distB="0" distT="0" distL="114300" distR="114300"/>
            <wp:docPr id="16"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6179820" cy="3124200"/>
                    </a:xfrm>
                    <a:prstGeom prst="rect"/>
                    <a:ln/>
                  </pic:spPr>
                </pic:pic>
              </a:graphicData>
            </a:graphic>
          </wp:anchor>
        </w:drawing>
      </w:r>
    </w:p>
    <w:p w:rsidR="00000000" w:rsidDel="00000000" w:rsidP="00000000" w:rsidRDefault="00000000" w:rsidRPr="00000000" w14:paraId="0000000D">
      <w:pPr>
        <w:jc w:val="center"/>
        <w:rPr>
          <w:color w:val="000000"/>
        </w:rPr>
      </w:pPr>
      <w:r w:rsidDel="00000000" w:rsidR="00000000" w:rsidRPr="00000000">
        <w:rPr>
          <w:b w:val="1"/>
          <w:bCs w:val="1"/>
          <w:color w:val="000000"/>
          <w:sz w:val="22"/>
          <w:szCs w:val="22"/>
          <w:rtl w:val="0"/>
        </w:rPr>
        <w:t xml:space="preserve">Fuente:</w:t>
      </w:r>
      <w:r w:rsidDel="00000000" w:rsidR="00000000" w:rsidRPr="00000000">
        <w:rPr>
          <w:color w:val="000000"/>
          <w:sz w:val="22"/>
          <w:szCs w:val="22"/>
          <w:rtl w:val="0"/>
        </w:rPr>
        <w:t xml:space="preserve"> Elaboración propia a partir del DANE </w:t>
      </w:r>
      <w:r w:rsidDel="00000000" w:rsidR="00000000" w:rsidRPr="00000000">
        <w:rPr>
          <w:rtl w:val="0"/>
        </w:rPr>
      </w:r>
    </w:p>
    <w:p w:rsidR="00000000" w:rsidDel="00000000" w:rsidP="00000000" w:rsidRDefault="00000000" w:rsidRPr="00000000" w14:paraId="0000000E">
      <w:pPr>
        <w:jc w:val="both"/>
        <w:rPr>
          <w:color w:val="000000"/>
        </w:rPr>
      </w:pPr>
      <w:r w:rsidDel="00000000" w:rsidR="00000000" w:rsidRPr="00000000">
        <w:rPr>
          <w:color w:val="000000"/>
          <w:rtl w:val="0"/>
        </w:rPr>
        <w:t xml:space="preserve">En comparación con el promedio de los 32 departamentos, Santander se ubica por debajo del promedio nacional en la mayoría de las dimensiones, exceptuando </w:t>
      </w:r>
      <w:r w:rsidDel="00000000" w:rsidR="00000000" w:rsidRPr="00000000">
        <w:rPr>
          <w:b w:val="1"/>
          <w:bCs w:val="1"/>
          <w:color w:val="000000"/>
          <w:rtl w:val="0"/>
        </w:rPr>
        <w:t xml:space="preserve">Entorno Institucional</w:t>
      </w:r>
      <w:r w:rsidDel="00000000" w:rsidR="00000000" w:rsidRPr="00000000">
        <w:rPr>
          <w:color w:val="000000"/>
          <w:rtl w:val="0"/>
        </w:rPr>
        <w:t xml:space="preserve">, dimensión en la que el departamento se encuentra 1 punto por encima del promedio de los 32 departamentos, como se observa en la</w:t>
      </w:r>
      <w:r w:rsidDel="00000000" w:rsidR="00000000" w:rsidRPr="00000000">
        <w:rPr>
          <w:b w:val="1"/>
          <w:bCs w:val="1"/>
          <w:color w:val="000000"/>
          <w:rtl w:val="0"/>
        </w:rPr>
        <w:t xml:space="preserve"> Gráfica 3</w:t>
      </w:r>
      <w:r w:rsidDel="00000000" w:rsidR="00000000" w:rsidRPr="00000000">
        <w:rPr>
          <w:color w:val="000000"/>
          <w:rtl w:val="0"/>
        </w:rPr>
        <w:t xml:space="preserve">.</w:t>
      </w:r>
    </w:p>
    <w:p w:rsidR="00000000" w:rsidDel="00000000" w:rsidP="00000000" w:rsidRDefault="00000000" w:rsidRPr="00000000" w14:paraId="0000000F">
      <w:pPr>
        <w:jc w:val="center"/>
        <w:rPr>
          <w:color w:val="000000"/>
        </w:rPr>
      </w:pPr>
      <w:r w:rsidDel="00000000" w:rsidR="00000000" w:rsidRPr="00000000">
        <w:rPr>
          <w:b w:val="1"/>
          <w:bCs w:val="1"/>
          <w:color w:val="000000"/>
          <w:rtl w:val="0"/>
        </w:rPr>
        <w:t xml:space="preserve">Gráfica 3. </w:t>
      </w:r>
      <w:r w:rsidDel="00000000" w:rsidR="00000000" w:rsidRPr="00000000">
        <w:rPr>
          <w:color w:val="000000"/>
          <w:rtl w:val="0"/>
        </w:rPr>
        <w:t xml:space="preserve">Resultado del ICET en el departamento de Santander y el promedio de los 32 departamentos, 2024 </w:t>
      </w:r>
      <w:r w:rsidDel="00000000" w:rsidR="00000000" w:rsidRPr="00000000">
        <w:drawing>
          <wp:anchor allowOverlap="1" behindDoc="0" distB="0" distT="0" distL="114300" distR="114300" hidden="0" layoutInCell="1" locked="0" relativeHeight="0" simplePos="0">
            <wp:simplePos x="0" y="0"/>
            <wp:positionH relativeFrom="column">
              <wp:posOffset>329565</wp:posOffset>
            </wp:positionH>
            <wp:positionV relativeFrom="paragraph">
              <wp:posOffset>529590</wp:posOffset>
            </wp:positionV>
            <wp:extent cx="5086350" cy="3524250"/>
            <wp:effectExtent b="0" l="0" r="0" t="0"/>
            <wp:wrapSquare wrapText="bothSides" distB="0" distT="0" distL="114300" distR="114300"/>
            <wp:docPr id="15" name="image10.png"/>
            <a:graphic>
              <a:graphicData uri="http://schemas.openxmlformats.org/drawingml/2006/picture">
                <pic:pic>
                  <pic:nvPicPr>
                    <pic:cNvPr id="0" name="image10.png"/>
                    <pic:cNvPicPr preferRelativeResize="0"/>
                  </pic:nvPicPr>
                  <pic:blipFill>
                    <a:blip r:embed="rId11"/>
                    <a:srcRect b="0" l="0" r="0" t="0"/>
                    <a:stretch>
                      <a:fillRect/>
                    </a:stretch>
                  </pic:blipFill>
                  <pic:spPr>
                    <a:xfrm>
                      <a:off x="0" y="0"/>
                      <a:ext cx="5086350" cy="3524250"/>
                    </a:xfrm>
                    <a:prstGeom prst="rect"/>
                    <a:ln/>
                  </pic:spPr>
                </pic:pic>
              </a:graphicData>
            </a:graphic>
          </wp:anchor>
        </w:drawing>
      </w:r>
    </w:p>
    <w:p w:rsidR="00000000" w:rsidDel="00000000" w:rsidP="00000000" w:rsidRDefault="00000000" w:rsidRPr="00000000" w14:paraId="00000010">
      <w:pPr>
        <w:jc w:val="center"/>
        <w:rPr>
          <w:b w:val="1"/>
          <w:bCs w:val="1"/>
          <w:color w:val="000000"/>
          <w:sz w:val="22"/>
          <w:szCs w:val="22"/>
        </w:rPr>
      </w:pPr>
      <w:r w:rsidDel="00000000" w:rsidR="00000000" w:rsidRPr="00000000">
        <w:rPr>
          <w:b w:val="1"/>
          <w:bCs w:val="1"/>
          <w:color w:val="000000"/>
          <w:sz w:val="22"/>
          <w:szCs w:val="22"/>
          <w:rtl w:val="0"/>
        </w:rPr>
        <w:t xml:space="preserve">Fuente: </w:t>
      </w:r>
      <w:r w:rsidDel="00000000" w:rsidR="00000000" w:rsidRPr="00000000">
        <w:rPr>
          <w:color w:val="000000"/>
          <w:sz w:val="22"/>
          <w:szCs w:val="22"/>
          <w:rtl w:val="0"/>
        </w:rPr>
        <w:t xml:space="preserve">Elaboración propia a partir del DANE</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917575</wp:posOffset>
                </wp:positionH>
                <wp:positionV relativeFrom="paragraph">
                  <wp:posOffset>3175000</wp:posOffset>
                </wp:positionV>
                <wp:extent cx="4225261" cy="1194982"/>
                <wp:effectExtent b="0" l="0" r="0" t="0"/>
                <wp:wrapNone/>
                <wp:docPr id="1" name=""/>
                <a:graphic>
                  <a:graphicData uri="http://schemas.microsoft.com/office/word/2010/wordprocessingShape">
                    <wps:wsp>
                      <wps:cNvSpPr/>
                      <wps:cNvPr id="2" name="Shape 2"/>
                      <wps:spPr>
                        <a:xfrm>
                          <a:off x="3246070" y="3195209"/>
                          <a:ext cx="4199861" cy="1169582"/>
                        </a:xfrm>
                        <a:prstGeom prst="rect">
                          <a:avLst/>
                        </a:prstGeom>
                        <a:gradFill>
                          <a:gsLst>
                            <a:gs pos="0">
                              <a:srgbClr val="F4B6A2"/>
                            </a:gs>
                            <a:gs pos="50000">
                              <a:srgbClr val="F1AA93"/>
                            </a:gs>
                            <a:gs pos="100000">
                              <a:srgbClr val="F49C7F"/>
                            </a:gs>
                          </a:gsLst>
                          <a:lin ang="5400000" scaled="0"/>
                        </a:gradFill>
                        <a:ln cap="flat" cmpd="sng" w="12700">
                          <a:solidFill>
                            <a:schemeClr val="accent2"/>
                          </a:solidFill>
                          <a:prstDash val="solid"/>
                          <a:miter lim="80"/>
                          <a:headEnd len="sm" w="sm" type="none"/>
                          <a:tailEnd len="sm" w="sm" type="none"/>
                        </a:ln>
                      </wps:spPr>
                      <wps:txbx>
                        <w:txbxContent>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Aptos" w:cs="Aptos" w:eastAsia="Aptos" w:hAnsi="Aptos"/>
                                <w:b w:val="0"/>
                                <w:i w:val="0"/>
                                <w:smallCaps w:val="0"/>
                                <w:strike w:val="0"/>
                                <w:color w:val="000000"/>
                                <w:sz w:val="24"/>
                                <w:vertAlign w:val="baseline"/>
                              </w:rPr>
                              <w:t xml:space="preserve">Respecto al gráfico de radar, el límite debe ser del 100%.</w:t>
                            </w:r>
                            <w:r w:rsidDel="00000000" w:rsidR="00000000" w:rsidRPr="00000000">
                              <w:rPr>
                                <w:rFonts w:ascii="Aptos" w:cs="Aptos" w:eastAsia="Aptos" w:hAnsi="Aptos"/>
                                <w:b w:val="0"/>
                                <w:i w:val="0"/>
                                <w:smallCaps w:val="0"/>
                                <w:strike w:val="0"/>
                                <w:color w:val="000000"/>
                                <w:sz w:val="24"/>
                                <w:vertAlign w:val="baseline"/>
                              </w:rPr>
                              <w:br w:type="textWrapping"/>
                            </w:r>
                            <w:r w:rsidDel="00000000" w:rsidR="00000000" w:rsidRPr="00000000">
                              <w:rPr>
                                <w:rFonts w:ascii="Aptos" w:cs="Aptos" w:eastAsia="Aptos" w:hAnsi="Aptos"/>
                                <w:b w:val="0"/>
                                <w:i w:val="0"/>
                                <w:smallCaps w:val="0"/>
                                <w:strike w:val="0"/>
                                <w:color w:val="000000"/>
                                <w:sz w:val="24"/>
                                <w:vertAlign w:val="baseline"/>
                              </w:rPr>
                              <w:t xml:space="preserve">Especialmente, no está bien que cada gráfico tenga un límite diferente.</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917575</wp:posOffset>
                </wp:positionH>
                <wp:positionV relativeFrom="paragraph">
                  <wp:posOffset>3175000</wp:posOffset>
                </wp:positionV>
                <wp:extent cx="4225261" cy="1194982"/>
                <wp:effectExtent b="0" l="0" r="0" t="0"/>
                <wp:wrapNone/>
                <wp:docPr id="1" name="image14.png"/>
                <a:graphic>
                  <a:graphicData uri="http://schemas.openxmlformats.org/drawingml/2006/picture">
                    <pic:pic>
                      <pic:nvPicPr>
                        <pic:cNvPr id="0" name="image14.png"/>
                        <pic:cNvPicPr preferRelativeResize="0"/>
                      </pic:nvPicPr>
                      <pic:blipFill>
                        <a:blip r:embed="rId8"/>
                        <a:srcRect/>
                        <a:stretch>
                          <a:fillRect/>
                        </a:stretch>
                      </pic:blipFill>
                      <pic:spPr>
                        <a:xfrm>
                          <a:off x="0" y="0"/>
                          <a:ext cx="4225261" cy="1194982"/>
                        </a:xfrm>
                        <a:prstGeom prst="rect"/>
                        <a:ln/>
                      </pic:spPr>
                    </pic:pic>
                  </a:graphicData>
                </a:graphic>
              </wp:anchor>
            </w:drawing>
          </mc:Fallback>
        </mc:AlternateContent>
      </w:r>
    </w:p>
    <w:p w:rsidR="00000000" w:rsidDel="00000000" w:rsidP="00000000" w:rsidRDefault="00000000" w:rsidRPr="00000000" w14:paraId="00000011">
      <w:pPr>
        <w:jc w:val="both"/>
        <w:rPr>
          <w:color w:val="000000"/>
        </w:rPr>
      </w:pPr>
      <w:r w:rsidDel="00000000" w:rsidR="00000000" w:rsidRPr="00000000">
        <w:rPr>
          <w:color w:val="000000"/>
          <w:rtl w:val="0"/>
        </w:rPr>
        <w:t xml:space="preserve">A continuación, se presentan los resultados específicos por dimensión, subdimensión e indicadores correspondientes para el Departamento de Santander</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60" w:before="0" w:line="278.00000000000006" w:lineRule="auto"/>
        <w:ind w:left="1224" w:right="0" w:hanging="504.00000000000006"/>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Dimensión Entorno institucional </w:t>
      </w:r>
    </w:p>
    <w:p w:rsidR="00000000" w:rsidDel="00000000" w:rsidP="00000000" w:rsidRDefault="00000000" w:rsidRPr="00000000" w14:paraId="00000013">
      <w:pPr>
        <w:jc w:val="both"/>
        <w:rPr>
          <w:color w:val="000000"/>
        </w:rPr>
      </w:pPr>
      <w:r w:rsidDel="00000000" w:rsidR="00000000" w:rsidRPr="00000000">
        <w:rPr>
          <w:color w:val="000000"/>
          <w:rtl w:val="0"/>
        </w:rPr>
        <w:t xml:space="preserve">Esta dimensión analiza las características de la estructura y funcionamiento de las entidades territoriales, con relación a la generación, procesamiento, uso y difusión de la información estadística (DANE, 2023). Está compuesta por dos subdimensiones: Marco Institucional y Gestión del Conocimiento.  </w:t>
      </w:r>
    </w:p>
    <w:p w:rsidR="00000000" w:rsidDel="00000000" w:rsidP="00000000" w:rsidRDefault="00000000" w:rsidRPr="00000000" w14:paraId="0000001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60" w:before="0" w:line="278.00000000000006" w:lineRule="auto"/>
        <w:ind w:left="1728" w:right="0" w:hanging="648"/>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Marco institucional  </w:t>
      </w:r>
    </w:p>
    <w:p w:rsidR="00000000" w:rsidDel="00000000" w:rsidP="00000000" w:rsidRDefault="00000000" w:rsidRPr="00000000" w14:paraId="00000015">
      <w:pPr>
        <w:jc w:val="both"/>
        <w:rPr>
          <w:color w:val="000000"/>
        </w:rPr>
      </w:pPr>
      <w:r w:rsidDel="00000000" w:rsidR="00000000" w:rsidRPr="00000000">
        <w:rPr>
          <w:color w:val="000000"/>
          <w:rtl w:val="0"/>
        </w:rPr>
        <w:t xml:space="preserve">El Marco Institucional para Santander presentó un resultado de 68 en 2024.  En cuanto a los indicadores que la conforman, los resultados más bajos corresponden a </w:t>
      </w:r>
      <w:r w:rsidDel="00000000" w:rsidR="00000000" w:rsidRPr="00000000">
        <w:rPr>
          <w:i w:val="1"/>
          <w:iCs w:val="1"/>
          <w:color w:val="000000"/>
          <w:rtl w:val="0"/>
        </w:rPr>
        <w:t xml:space="preserve">Instancias de Coordinación Interinstitucional Implementadas en la Entidad Territorial </w:t>
      </w:r>
      <w:r w:rsidDel="00000000" w:rsidR="00000000" w:rsidRPr="00000000">
        <w:rPr>
          <w:color w:val="000000"/>
          <w:rtl w:val="0"/>
        </w:rPr>
        <w:t xml:space="preserve">y </w:t>
      </w:r>
      <w:r w:rsidDel="00000000" w:rsidR="00000000" w:rsidRPr="00000000">
        <w:rPr>
          <w:i w:val="1"/>
          <w:iCs w:val="1"/>
          <w:color w:val="000000"/>
          <w:rtl w:val="0"/>
        </w:rPr>
        <w:t xml:space="preserve">ODS Alineados a la Planeación Institucional</w:t>
      </w:r>
      <w:r w:rsidDel="00000000" w:rsidR="00000000" w:rsidRPr="00000000">
        <w:rPr>
          <w:i w:val="1"/>
          <w:iCs w:val="1"/>
          <w:color w:val="000000"/>
          <w:rtl w:val="0"/>
        </w:rPr>
        <w:t xml:space="preserve">,</w:t>
      </w:r>
      <w:r w:rsidDel="00000000" w:rsidR="00000000" w:rsidRPr="00000000">
        <w:rPr>
          <w:color w:val="000000"/>
          <w:rtl w:val="0"/>
        </w:rPr>
        <w:t xml:space="preserve"> ambos con una puntuación de 0. </w:t>
      </w:r>
    </w:p>
    <w:p w:rsidR="00000000" w:rsidDel="00000000" w:rsidP="00000000" w:rsidRDefault="00000000" w:rsidRPr="00000000" w14:paraId="00000016">
      <w:pPr>
        <w:jc w:val="both"/>
        <w:rPr>
          <w:color w:val="000000"/>
        </w:rPr>
      </w:pPr>
      <w:r w:rsidDel="00000000" w:rsidR="00000000" w:rsidRPr="00000000">
        <w:rPr>
          <w:color w:val="000000"/>
          <w:rtl w:val="0"/>
        </w:rPr>
        <w:t xml:space="preserve">De igual manera, el indicador relacionado con </w:t>
      </w:r>
      <w:r w:rsidDel="00000000" w:rsidR="00000000" w:rsidRPr="00000000">
        <w:rPr>
          <w:i w:val="1"/>
          <w:iCs w:val="1"/>
          <w:color w:val="000000"/>
          <w:rtl w:val="0"/>
        </w:rPr>
        <w:t xml:space="preserve">Inventarios Identificados en la Entidad Territorial</w:t>
      </w:r>
      <w:r w:rsidDel="00000000" w:rsidR="00000000" w:rsidRPr="00000000">
        <w:rPr>
          <w:color w:val="000000"/>
          <w:rtl w:val="0"/>
        </w:rPr>
        <w:t xml:space="preserve"> obtuvo 33 puntos y</w:t>
      </w:r>
      <w:r w:rsidDel="00000000" w:rsidR="00000000" w:rsidRPr="00000000">
        <w:rPr>
          <w:i w:val="1"/>
          <w:iCs w:val="1"/>
          <w:color w:val="000000"/>
          <w:rtl w:val="0"/>
        </w:rPr>
        <w:t xml:space="preserve"> </w:t>
      </w:r>
      <w:r w:rsidDel="00000000" w:rsidR="00000000" w:rsidRPr="00000000">
        <w:rPr>
          <w:i w:val="1"/>
          <w:iCs w:val="1"/>
          <w:color w:val="000000"/>
          <w:rtl w:val="0"/>
        </w:rPr>
        <w:t xml:space="preserve">Procedimientos de Seguridad y Privacidad de la Información Implementados</w:t>
      </w:r>
      <w:r w:rsidDel="00000000" w:rsidR="00000000" w:rsidRPr="00000000">
        <w:rPr>
          <w:color w:val="000000"/>
          <w:rtl w:val="0"/>
        </w:rPr>
        <w:t xml:space="preserve"> 50</w:t>
      </w:r>
      <w:r w:rsidDel="00000000" w:rsidR="00000000" w:rsidRPr="00000000">
        <w:rPr>
          <w:color w:val="000000"/>
          <w:rtl w:val="0"/>
        </w:rPr>
        <w:t xml:space="preserve"> puntos. </w:t>
      </w:r>
    </w:p>
    <w:p w:rsidR="00000000" w:rsidDel="00000000" w:rsidP="00000000" w:rsidRDefault="00000000" w:rsidRPr="00000000" w14:paraId="00000017">
      <w:pPr>
        <w:jc w:val="both"/>
        <w:rPr>
          <w:color w:val="000000"/>
        </w:rPr>
      </w:pPr>
      <w:r w:rsidDel="00000000" w:rsidR="00000000" w:rsidRPr="00000000">
        <w:rPr>
          <w:color w:val="000000"/>
          <w:rtl w:val="0"/>
        </w:rPr>
        <w:t xml:space="preserve">Así mismo, se presentan fortalezas en múltiples </w:t>
      </w:r>
      <w:r w:rsidDel="00000000" w:rsidR="00000000" w:rsidRPr="00000000">
        <w:rPr>
          <w:color w:val="000000"/>
          <w:rtl w:val="0"/>
        </w:rPr>
        <w:t xml:space="preserve">indicadores </w:t>
      </w:r>
      <w:r w:rsidDel="00000000" w:rsidR="00000000" w:rsidRPr="00000000">
        <w:rPr>
          <w:color w:val="000000"/>
          <w:rtl w:val="0"/>
        </w:rPr>
        <w:t xml:space="preserve">como: </w:t>
      </w:r>
      <w:r w:rsidDel="00000000" w:rsidR="00000000" w:rsidRPr="00000000">
        <w:rPr>
          <w:i w:val="1"/>
          <w:iCs w:val="1"/>
          <w:color w:val="000000"/>
          <w:rtl w:val="0"/>
        </w:rPr>
        <w:t xml:space="preserve">Existencia de una Dependencia y/o Grupo Definido en la Normatividad de la Entidad Territorial</w:t>
      </w:r>
      <w:r w:rsidDel="00000000" w:rsidR="00000000" w:rsidRPr="00000000">
        <w:rPr>
          <w:color w:val="000000"/>
          <w:rtl w:val="0"/>
        </w:rPr>
        <w:t xml:space="preserve">; </w:t>
      </w:r>
      <w:r w:rsidDel="00000000" w:rsidR="00000000" w:rsidRPr="00000000">
        <w:rPr>
          <w:i w:val="1"/>
          <w:iCs w:val="1"/>
          <w:color w:val="000000"/>
          <w:rtl w:val="0"/>
        </w:rPr>
        <w:t xml:space="preserve">Cargos Cuyas Funciones </w:t>
      </w:r>
      <w:r w:rsidDel="00000000" w:rsidR="00000000" w:rsidRPr="00000000">
        <w:rPr>
          <w:i w:val="1"/>
          <w:iCs w:val="1"/>
          <w:color w:val="000000"/>
          <w:rtl w:val="0"/>
        </w:rPr>
        <w:t xml:space="preserve">están Relacionadas con la Actividad Estadística, Incluidas en el Manual de Funciones de la Entidad Territorial, Procesos y Procedimientos Documentados en el Sistema Integrado de Gestión de la Entidad Territorial y Toma de Decisiones Basadas en Datos en los Niveles Estratégico y Operativo</w:t>
      </w:r>
      <w:r w:rsidDel="00000000" w:rsidR="00000000" w:rsidRPr="00000000">
        <w:rPr>
          <w:color w:val="000000"/>
          <w:rtl w:val="0"/>
        </w:rPr>
        <w:t xml:space="preserve">, todas con puntajes de 100 puntos, como se muestra en la </w:t>
      </w:r>
      <w:r w:rsidDel="00000000" w:rsidR="00000000" w:rsidRPr="00000000">
        <w:rPr>
          <w:b w:val="1"/>
          <w:bCs w:val="1"/>
          <w:color w:val="000000"/>
          <w:rtl w:val="0"/>
        </w:rPr>
        <w:t xml:space="preserve">Grafica 4</w:t>
      </w:r>
      <w:r w:rsidDel="00000000" w:rsidR="00000000" w:rsidRPr="00000000">
        <w:rPr>
          <w:color w:val="000000"/>
          <w:rtl w:val="0"/>
        </w:rPr>
        <w:t xml:space="preserve">. </w:t>
      </w:r>
    </w:p>
    <w:p w:rsidR="00000000" w:rsidDel="00000000" w:rsidP="00000000" w:rsidRDefault="00000000" w:rsidRPr="00000000" w14:paraId="00000018">
      <w:pPr>
        <w:jc w:val="center"/>
        <w:rPr>
          <w:color w:val="000000"/>
        </w:rPr>
      </w:pPr>
      <w:r w:rsidDel="00000000" w:rsidR="00000000" w:rsidRPr="00000000">
        <w:rPr>
          <w:b w:val="1"/>
          <w:bCs w:val="1"/>
          <w:color w:val="000000"/>
          <w:rtl w:val="0"/>
        </w:rPr>
        <w:t xml:space="preserve">Grafica 4. </w:t>
      </w:r>
      <w:r w:rsidDel="00000000" w:rsidR="00000000" w:rsidRPr="00000000">
        <w:rPr>
          <w:color w:val="000000"/>
          <w:rtl w:val="0"/>
        </w:rPr>
        <w:t xml:space="preserve">Resultado de la Subdimensión Marco institucional</w:t>
      </w:r>
      <w:r w:rsidDel="00000000" w:rsidR="00000000" w:rsidRPr="00000000">
        <w:rPr>
          <w:b w:val="1"/>
          <w:bCs w:val="1"/>
          <w:color w:val="000000"/>
          <w:rtl w:val="0"/>
        </w:rPr>
        <w:t xml:space="preserve">, </w:t>
      </w:r>
      <w:r w:rsidDel="00000000" w:rsidR="00000000" w:rsidRPr="00000000">
        <w:rPr>
          <w:color w:val="000000"/>
          <w:rtl w:val="0"/>
        </w:rPr>
        <w:t xml:space="preserve">2024  </w:t>
      </w:r>
      <w:r w:rsidDel="00000000" w:rsidR="00000000" w:rsidRPr="00000000">
        <w:drawing>
          <wp:anchor allowOverlap="1" behindDoc="0" distB="0" distT="0" distL="114300" distR="114300" hidden="0" layoutInCell="1" locked="0" relativeHeight="0" simplePos="0">
            <wp:simplePos x="0" y="0"/>
            <wp:positionH relativeFrom="column">
              <wp:posOffset>-401952</wp:posOffset>
            </wp:positionH>
            <wp:positionV relativeFrom="paragraph">
              <wp:posOffset>316865</wp:posOffset>
            </wp:positionV>
            <wp:extent cx="6334125" cy="4295775"/>
            <wp:effectExtent b="0" l="0" r="0" t="0"/>
            <wp:wrapSquare wrapText="bothSides" distB="0" distT="0" distL="114300" distR="114300"/>
            <wp:docPr id="8" name="image6.png"/>
            <a:graphic>
              <a:graphicData uri="http://schemas.openxmlformats.org/drawingml/2006/picture">
                <pic:pic>
                  <pic:nvPicPr>
                    <pic:cNvPr id="0" name="image6.png"/>
                    <pic:cNvPicPr preferRelativeResize="0"/>
                  </pic:nvPicPr>
                  <pic:blipFill>
                    <a:blip r:embed="rId12"/>
                    <a:srcRect b="0" l="0" r="0" t="0"/>
                    <a:stretch>
                      <a:fillRect/>
                    </a:stretch>
                  </pic:blipFill>
                  <pic:spPr>
                    <a:xfrm>
                      <a:off x="0" y="0"/>
                      <a:ext cx="6334125" cy="4295775"/>
                    </a:xfrm>
                    <a:prstGeom prst="rect"/>
                    <a:ln/>
                  </pic:spPr>
                </pic:pic>
              </a:graphicData>
            </a:graphic>
          </wp:anchor>
        </w:drawing>
      </w:r>
    </w:p>
    <w:p w:rsidR="00000000" w:rsidDel="00000000" w:rsidP="00000000" w:rsidRDefault="00000000" w:rsidRPr="00000000" w14:paraId="00000019">
      <w:pPr>
        <w:jc w:val="center"/>
        <w:rPr>
          <w:color w:val="000000"/>
        </w:rPr>
      </w:pPr>
      <w:r w:rsidDel="00000000" w:rsidR="00000000" w:rsidRPr="00000000">
        <w:rPr>
          <w:b w:val="1"/>
          <w:bCs w:val="1"/>
          <w:color w:val="000000"/>
          <w:rtl w:val="0"/>
        </w:rPr>
        <w:t xml:space="preserve">Fuente: </w:t>
      </w:r>
      <w:r w:rsidDel="00000000" w:rsidR="00000000" w:rsidRPr="00000000">
        <w:rPr>
          <w:color w:val="000000"/>
          <w:sz w:val="22"/>
          <w:szCs w:val="22"/>
          <w:rtl w:val="0"/>
        </w:rPr>
        <w:t xml:space="preserve">Elaboración propia a partir del DANE</w:t>
      </w:r>
      <w:r w:rsidDel="00000000" w:rsidR="00000000" w:rsidRPr="00000000">
        <w:rPr>
          <w:rtl w:val="0"/>
        </w:rPr>
      </w:r>
    </w:p>
    <w:p w:rsidR="00000000" w:rsidDel="00000000" w:rsidP="00000000" w:rsidRDefault="00000000" w:rsidRPr="00000000" w14:paraId="0000001A">
      <w:pPr>
        <w:jc w:val="both"/>
        <w:rPr>
          <w:color w:val="000000"/>
        </w:rPr>
      </w:pPr>
      <w:r w:rsidDel="00000000" w:rsidR="00000000" w:rsidRPr="00000000">
        <w:rPr>
          <w:color w:val="000000"/>
          <w:rtl w:val="0"/>
        </w:rPr>
        <w:t xml:space="preserve">Los resultados evidencian que, aunque persisten brechas relacionadas con la institucionalización de procedimientos, documentación técnica y alineación estratégica de la información estadística, la Gobernación del Departamento de Santander ha venido adelantando acciones orientadas al fortalecimiento de la gestión estadística institucional. </w:t>
      </w:r>
    </w:p>
    <w:p w:rsidR="00000000" w:rsidDel="00000000" w:rsidP="00000000" w:rsidRDefault="00000000" w:rsidRPr="00000000" w14:paraId="0000001B">
      <w:pPr>
        <w:jc w:val="both"/>
        <w:rPr>
          <w:color w:val="000000"/>
        </w:rPr>
      </w:pPr>
      <w:r w:rsidDel="00000000" w:rsidR="00000000" w:rsidRPr="00000000">
        <w:rPr>
          <w:color w:val="000000"/>
          <w:rtl w:val="0"/>
        </w:rPr>
        <w:t xml:space="preserve">Entre estas acciones se destaca la formulación y adopción de procedimientos asociados al desarrollo del Plan Estadístico, actualmente incorporados dentro de la caracterización del proceso de planificación estratégica de la entidad. Este proceso ha incluido actividades relacionadas con la revisión y análisis de indicadores de resultado por parte del grupo de gestión de información estadística, así como la definición de lineamientos y conceptos técnicos orientados al fortalecimiento de la planeación, seguimiento y uso de información para la toma de decisiones. </w:t>
      </w:r>
    </w:p>
    <w:p w:rsidR="00000000" w:rsidDel="00000000" w:rsidP="00000000" w:rsidRDefault="00000000" w:rsidRPr="00000000" w14:paraId="0000001C">
      <w:pPr>
        <w:jc w:val="both"/>
        <w:rPr>
          <w:color w:val="000000"/>
        </w:rPr>
      </w:pPr>
      <w:r w:rsidDel="00000000" w:rsidR="00000000" w:rsidRPr="00000000">
        <w:rPr>
          <w:color w:val="000000"/>
          <w:rtl w:val="0"/>
        </w:rPr>
        <w:t xml:space="preserve">De igual manera, la entidad cuenta con un procedimiento para el monitoreo de registros administrativos y avanza en la estructuración del procedimiento asociado a operaciones estadísticas, en concordancia con los lineamientos y metodologías establecidas por el DANE para el fortalecimiento de la actividad estadística.</w:t>
      </w:r>
    </w:p>
    <w:p w:rsidR="00000000" w:rsidDel="00000000" w:rsidP="00000000" w:rsidRDefault="00000000" w:rsidRPr="00000000" w14:paraId="0000001D">
      <w:pPr>
        <w:jc w:val="both"/>
        <w:rPr>
          <w:color w:val="000000"/>
        </w:rPr>
      </w:pPr>
      <w:r w:rsidDel="00000000" w:rsidR="00000000" w:rsidRPr="00000000">
        <w:rPr>
          <w:color w:val="000000"/>
          <w:rtl w:val="0"/>
        </w:rPr>
        <w:t xml:space="preserve">Respecto a la alineación de los Objetivos de Desarrollo Sostenible (ODS) con los instrumentos de planeación institucional, se adelantó un proceso de identificación y caracterización de indicadores ODS con información disponible para el departamento, así como la identificación de aquellos objetivos y metas con demanda de información insatisfecha. Asimismo, se elaboró y socializó el primer informe de indicadores ICET, incorporando el análisis de indicadores asociados a los ODS y su comparación frente a las metas nacionales.</w:t>
      </w:r>
    </w:p>
    <w:p w:rsidR="00000000" w:rsidDel="00000000" w:rsidP="00000000" w:rsidRDefault="00000000" w:rsidRPr="00000000" w14:paraId="0000001E">
      <w:pPr>
        <w:jc w:val="both"/>
        <w:rPr>
          <w:color w:val="000000"/>
        </w:rPr>
      </w:pPr>
      <w:r w:rsidDel="00000000" w:rsidR="00000000" w:rsidRPr="00000000">
        <w:rPr>
          <w:color w:val="000000"/>
          <w:rtl w:val="0"/>
        </w:rPr>
        <w:t xml:space="preserve">En relación con la </w:t>
      </w:r>
      <w:r w:rsidDel="00000000" w:rsidR="00000000" w:rsidRPr="00000000">
        <w:rPr>
          <w:rtl w:val="0"/>
        </w:rPr>
        <w:t xml:space="preserve">incorporación</w:t>
      </w:r>
      <w:r w:rsidDel="00000000" w:rsidR="00000000" w:rsidRPr="00000000">
        <w:rPr>
          <w:color w:val="000000"/>
          <w:rtl w:val="0"/>
        </w:rPr>
        <w:t xml:space="preserve"> de la información estadística en el direccionamiento estratégico institucional, se evidencia un avance progresivo en el uso de indicadores para los procesos de análisis, seguimiento y toma de decisiones sectoriales. Como ejemplo de ello, se destacan los ejercicios liderados por la Secretaría de Competitividad orientados al mejoramiento de los indicadores asociados al Índice Departamental de Competitividad, mediante procesos de articulación interinstitucional y revisión de la cadena de valor de los indicadores estratégicos del departamento. </w:t>
      </w:r>
    </w:p>
    <w:p w:rsidR="00000000" w:rsidDel="00000000" w:rsidP="00000000" w:rsidRDefault="00000000" w:rsidRPr="00000000" w14:paraId="0000001F">
      <w:pPr>
        <w:jc w:val="both"/>
        <w:rPr>
          <w:color w:val="000000"/>
        </w:rPr>
      </w:pPr>
      <w:r w:rsidDel="00000000" w:rsidR="00000000" w:rsidRPr="00000000">
        <w:rPr>
          <w:color w:val="000000"/>
          <w:rtl w:val="0"/>
        </w:rPr>
        <w:t xml:space="preserve">Por otra parte, las actividades de gestión de información desarrolladas por la entidad han sido fortalecidas mediante la ejecución de proyectos institucionales financiados durante las vigencias 2023 y 2024, los cuales han permitido la conformación de un equipo técnico encargado de desarrollar acciones relacionadas con la implementación del Plan Estadístico, el fortalecimiento de registros administrativos y la ejecución de estrategias para la gestión estadística institucional. Entre los principales resultados derivados de estas acciones se encuentran el desarrollo de tableros de indicadores, la elaboración de informes técnicos, el monitoreo y diagnóstico de registros administrativos, así como la actualización del presente Plan Estadístico. </w:t>
      </w:r>
    </w:p>
    <w:p w:rsidR="00000000" w:rsidDel="00000000" w:rsidP="00000000" w:rsidRDefault="00000000" w:rsidRPr="00000000" w14:paraId="00000020">
      <w:pPr>
        <w:jc w:val="both"/>
        <w:rPr>
          <w:color w:val="000000"/>
        </w:rPr>
      </w:pPr>
      <w:r w:rsidDel="00000000" w:rsidR="00000000" w:rsidRPr="00000000">
        <w:rPr>
          <w:color w:val="000000"/>
          <w:rtl w:val="0"/>
        </w:rPr>
        <w:t xml:space="preserve">En cuanto al fortalecimiento institucional de la actividad estadística, durante la vigencia 2026 se adelantó la gestión para la creación de la Dirección de Estadística de la Gobernación de Santander, proceso que actualmente se encuentra en trámite de presentación ante la Asamblea Departamental. Como parte de este ejercicio, se realizó el levantamiento de cargas laborales y la estructuración técnica requerida para su formalización</w:t>
      </w:r>
    </w:p>
    <w:p w:rsidR="00000000" w:rsidDel="00000000" w:rsidP="00000000" w:rsidRDefault="00000000" w:rsidRPr="00000000" w14:paraId="0000002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60" w:before="0" w:line="278.00000000000006" w:lineRule="auto"/>
        <w:ind w:left="1728" w:right="0" w:hanging="648"/>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Gestión del Conocimiento  </w:t>
      </w:r>
    </w:p>
    <w:p w:rsidR="00000000" w:rsidDel="00000000" w:rsidP="00000000" w:rsidRDefault="00000000" w:rsidRPr="00000000" w14:paraId="00000022">
      <w:pPr>
        <w:jc w:val="both"/>
        <w:rPr>
          <w:color w:val="000000"/>
        </w:rPr>
      </w:pPr>
      <w:r w:rsidDel="00000000" w:rsidR="00000000" w:rsidRPr="00000000">
        <w:rPr>
          <w:color w:val="000000"/>
          <w:rtl w:val="0"/>
        </w:rPr>
        <w:t xml:space="preserve">La subdimensión Gestión del Conocimiento obtuvo un resultado de 76 puntos, representando uno de los mejores desempeños del departamento dentro del ICET 2024. Los indicadores con mayor puntuación corresponden a </w:t>
      </w:r>
      <w:r w:rsidDel="00000000" w:rsidR="00000000" w:rsidRPr="00000000">
        <w:rPr>
          <w:i w:val="1"/>
          <w:iCs w:val="1"/>
          <w:color w:val="000000"/>
          <w:rtl w:val="0"/>
        </w:rPr>
        <w:t xml:space="preserve">Acciones Desarrolladas para Conservar </w:t>
      </w:r>
      <w:r w:rsidDel="00000000" w:rsidR="00000000" w:rsidRPr="00000000">
        <w:rPr>
          <w:i w:val="1"/>
          <w:iCs w:val="1"/>
          <w:color w:val="000000"/>
          <w:rtl w:val="0"/>
        </w:rPr>
        <w:t xml:space="preserve">Conocimiento</w:t>
      </w:r>
      <w:r w:rsidDel="00000000" w:rsidR="00000000" w:rsidRPr="00000000">
        <w:rPr>
          <w:color w:val="000000"/>
          <w:rtl w:val="0"/>
        </w:rPr>
        <w:t xml:space="preserve"> y </w:t>
      </w:r>
      <w:r w:rsidDel="00000000" w:rsidR="00000000" w:rsidRPr="00000000">
        <w:rPr>
          <w:i w:val="1"/>
          <w:iCs w:val="1"/>
          <w:color w:val="000000"/>
          <w:rtl w:val="0"/>
        </w:rPr>
        <w:t xml:space="preserve">Desarrollo de Actividades de Enseñanza y Aprendizaje</w:t>
      </w:r>
      <w:r w:rsidDel="00000000" w:rsidR="00000000" w:rsidRPr="00000000">
        <w:rPr>
          <w:color w:val="000000"/>
          <w:rtl w:val="0"/>
        </w:rPr>
        <w:t xml:space="preserve">, ambas con 100 puntos, tal como se observa en la </w:t>
      </w:r>
      <w:r w:rsidDel="00000000" w:rsidR="00000000" w:rsidRPr="00000000">
        <w:rPr>
          <w:b w:val="1"/>
          <w:bCs w:val="1"/>
          <w:color w:val="000000"/>
          <w:rtl w:val="0"/>
        </w:rPr>
        <w:t xml:space="preserve">Grafica 5.</w:t>
      </w:r>
      <w:r w:rsidDel="00000000" w:rsidR="00000000" w:rsidRPr="00000000">
        <w:rPr>
          <w:color w:val="000000"/>
          <w:rtl w:val="0"/>
        </w:rPr>
        <w:t xml:space="preserve"> </w:t>
      </w:r>
    </w:p>
    <w:p w:rsidR="00000000" w:rsidDel="00000000" w:rsidP="00000000" w:rsidRDefault="00000000" w:rsidRPr="00000000" w14:paraId="00000023">
      <w:pPr>
        <w:jc w:val="center"/>
        <w:rPr>
          <w:color w:val="000000"/>
        </w:rPr>
      </w:pPr>
      <w:r w:rsidDel="00000000" w:rsidR="00000000" w:rsidRPr="00000000">
        <w:rPr>
          <w:b w:val="1"/>
          <w:bCs w:val="1"/>
          <w:color w:val="000000"/>
          <w:rtl w:val="0"/>
        </w:rPr>
        <w:t xml:space="preserve">Gráfica 5.  </w:t>
      </w:r>
      <w:r w:rsidDel="00000000" w:rsidR="00000000" w:rsidRPr="00000000">
        <w:rPr>
          <w:color w:val="000000"/>
          <w:rtl w:val="0"/>
        </w:rPr>
        <w:t xml:space="preserve">Resultado de la Subdimensión Gestión del conocimiento, 2024   </w:t>
      </w:r>
      <w:r w:rsidDel="00000000" w:rsidR="00000000" w:rsidRPr="00000000">
        <w:drawing>
          <wp:anchor allowOverlap="1" behindDoc="0" distB="0" distT="0" distL="114300" distR="114300" hidden="0" layoutInCell="1" locked="0" relativeHeight="0" simplePos="0">
            <wp:simplePos x="0" y="0"/>
            <wp:positionH relativeFrom="column">
              <wp:posOffset>200025</wp:posOffset>
            </wp:positionH>
            <wp:positionV relativeFrom="paragraph">
              <wp:posOffset>210185</wp:posOffset>
            </wp:positionV>
            <wp:extent cx="5303520" cy="3505200"/>
            <wp:effectExtent b="0" l="0" r="0" t="0"/>
            <wp:wrapSquare wrapText="bothSides" distB="0" distT="0" distL="114300" distR="114300"/>
            <wp:docPr id="6" name="image12.png"/>
            <a:graphic>
              <a:graphicData uri="http://schemas.openxmlformats.org/drawingml/2006/picture">
                <pic:pic>
                  <pic:nvPicPr>
                    <pic:cNvPr id="0" name="image12.png"/>
                    <pic:cNvPicPr preferRelativeResize="0"/>
                  </pic:nvPicPr>
                  <pic:blipFill>
                    <a:blip r:embed="rId13"/>
                    <a:srcRect b="0" l="0" r="0" t="0"/>
                    <a:stretch>
                      <a:fillRect/>
                    </a:stretch>
                  </pic:blipFill>
                  <pic:spPr>
                    <a:xfrm>
                      <a:off x="0" y="0"/>
                      <a:ext cx="5303520" cy="3505200"/>
                    </a:xfrm>
                    <a:prstGeom prst="rect"/>
                    <a:ln/>
                  </pic:spPr>
                </pic:pic>
              </a:graphicData>
            </a:graphic>
          </wp:anchor>
        </w:drawing>
      </w:r>
    </w:p>
    <w:p w:rsidR="00000000" w:rsidDel="00000000" w:rsidP="00000000" w:rsidRDefault="00000000" w:rsidRPr="00000000" w14:paraId="00000024">
      <w:pPr>
        <w:jc w:val="center"/>
        <w:rPr>
          <w:color w:val="000000"/>
        </w:rPr>
      </w:pPr>
      <w:r w:rsidDel="00000000" w:rsidR="00000000" w:rsidRPr="00000000">
        <w:rPr>
          <w:b w:val="1"/>
          <w:bCs w:val="1"/>
          <w:color w:val="000000"/>
          <w:rtl w:val="0"/>
        </w:rPr>
        <w:t xml:space="preserve">Fuente: </w:t>
      </w:r>
      <w:r w:rsidDel="00000000" w:rsidR="00000000" w:rsidRPr="00000000">
        <w:rPr>
          <w:color w:val="000000"/>
          <w:sz w:val="22"/>
          <w:szCs w:val="22"/>
          <w:rtl w:val="0"/>
        </w:rPr>
        <w:t xml:space="preserve">Elaboración propia a partir del DANE</w:t>
      </w:r>
      <w:r w:rsidDel="00000000" w:rsidR="00000000" w:rsidRPr="00000000">
        <w:rPr>
          <w:rtl w:val="0"/>
        </w:rPr>
      </w:r>
    </w:p>
    <w:p w:rsidR="00000000" w:rsidDel="00000000" w:rsidP="00000000" w:rsidRDefault="00000000" w:rsidRPr="00000000" w14:paraId="00000025">
      <w:pPr>
        <w:jc w:val="both"/>
        <w:rPr>
          <w:color w:val="000000"/>
        </w:rPr>
      </w:pPr>
      <w:r w:rsidDel="00000000" w:rsidR="00000000" w:rsidRPr="00000000">
        <w:rPr>
          <w:color w:val="000000"/>
          <w:rtl w:val="0"/>
        </w:rPr>
        <w:t xml:space="preserve">No obstante, el indicador relacionado con </w:t>
      </w:r>
      <w:r w:rsidDel="00000000" w:rsidR="00000000" w:rsidRPr="00000000">
        <w:rPr>
          <w:i w:val="1"/>
          <w:iCs w:val="1"/>
          <w:color w:val="000000"/>
          <w:rtl w:val="0"/>
        </w:rPr>
        <w:t xml:space="preserve">Participación en Redes de Conocimiento</w:t>
      </w:r>
      <w:r w:rsidDel="00000000" w:rsidR="00000000" w:rsidRPr="00000000">
        <w:rPr>
          <w:color w:val="000000"/>
          <w:rtl w:val="0"/>
        </w:rPr>
        <w:t xml:space="preserve"> </w:t>
      </w:r>
      <w:r w:rsidDel="00000000" w:rsidR="00000000" w:rsidRPr="00000000">
        <w:rPr>
          <w:color w:val="000000"/>
          <w:rtl w:val="0"/>
        </w:rPr>
        <w:t xml:space="preserve">presentó un resultados de 25 puntos, evidenciando oportunidades de fortalecimiento en materia de articulación institucional, intercambio de experiencias y consolidación de espacios de formación y apropiación del conocimiento estadístico. </w:t>
      </w:r>
    </w:p>
    <w:p w:rsidR="00000000" w:rsidDel="00000000" w:rsidP="00000000" w:rsidRDefault="00000000" w:rsidRPr="00000000" w14:paraId="00000026">
      <w:pPr>
        <w:tabs>
          <w:tab w:val="center" w:leader="none" w:pos="4419"/>
          <w:tab w:val="left" w:leader="none" w:pos="5660"/>
        </w:tabs>
        <w:jc w:val="both"/>
        <w:rPr>
          <w:color w:val="000000"/>
        </w:rPr>
      </w:pPr>
      <w:r w:rsidDel="00000000" w:rsidR="00000000" w:rsidRPr="00000000">
        <w:rPr>
          <w:color w:val="000000"/>
          <w:rtl w:val="0"/>
        </w:rPr>
        <w:t xml:space="preserve">En este sentido, se ha continuado fortaleciendo las acciones orientadas a la gestión y conservación del conocimiento institucional asociado a la actividad estadística. Entre las principales acciones desarrolladas se encuentra la documentación y socialización de los procesos estadísticos, mediante la elaboración de informes técnicos, ejercicios de seguimiento, mesas de trabajo y espacios de socialización con las diferentes secretarías y dependencias de la entidad.</w:t>
      </w:r>
    </w:p>
    <w:p w:rsidR="00000000" w:rsidDel="00000000" w:rsidP="00000000" w:rsidRDefault="00000000" w:rsidRPr="00000000" w14:paraId="00000027">
      <w:pPr>
        <w:tabs>
          <w:tab w:val="center" w:leader="none" w:pos="4419"/>
          <w:tab w:val="left" w:leader="none" w:pos="5660"/>
        </w:tabs>
        <w:jc w:val="both"/>
        <w:rPr>
          <w:color w:val="000000"/>
        </w:rPr>
      </w:pPr>
      <w:r w:rsidDel="00000000" w:rsidR="00000000" w:rsidRPr="00000000">
        <w:rPr>
          <w:color w:val="000000"/>
          <w:rtl w:val="0"/>
        </w:rPr>
        <w:t xml:space="preserve">Asimismo, se han desarrollado actividades de asistencia técnica, acompañamiento metodológico y espacios de capacitación relacionados con gestión de información estadística, indicadores, registros administrativos y fortalecimiento de capacidades para el uso de información en procesos de planeación y seguimiento institucional. </w:t>
      </w:r>
    </w:p>
    <w:p w:rsidR="00000000" w:rsidDel="00000000" w:rsidP="00000000" w:rsidRDefault="00000000" w:rsidRPr="00000000" w14:paraId="00000028">
      <w:pPr>
        <w:tabs>
          <w:tab w:val="center" w:leader="none" w:pos="4419"/>
          <w:tab w:val="left" w:leader="none" w:pos="5660"/>
        </w:tabs>
        <w:jc w:val="both"/>
        <w:rPr>
          <w:color w:val="000000"/>
        </w:rPr>
      </w:pPr>
      <w:r w:rsidDel="00000000" w:rsidR="00000000" w:rsidRPr="00000000">
        <w:rPr>
          <w:color w:val="000000"/>
          <w:rtl w:val="0"/>
        </w:rPr>
        <w:t xml:space="preserve">Respecto a la participación en redes de conocimiento y al desarrollo de actividades de enseñanza y aprendizaje, la entidad ha adelantado espacios de articulación, asistencia técnica e intercambio de experiencias con entidades territoriales e instituciones académicas, entre ellas la Alcaldía de Bucaramanga y la Universidad Industrial de Santander (UIS), en temas relacionados con gestión de información estadística y fortalecimiento de capacidades institucionales. No obstante, persisten oportunidades de mejora en la participación en redes y espacios colaborativos para la gestión y aprovechamiento de información estadística. </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60" w:before="0" w:line="278.00000000000006" w:lineRule="auto"/>
        <w:ind w:left="1224" w:right="0" w:hanging="504.00000000000006"/>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 Dimensión Infraestructura </w:t>
      </w:r>
    </w:p>
    <w:p w:rsidR="00000000" w:rsidDel="00000000" w:rsidP="00000000" w:rsidRDefault="00000000" w:rsidRPr="00000000" w14:paraId="0000002A">
      <w:pPr>
        <w:jc w:val="both"/>
        <w:rPr>
          <w:color w:val="000000"/>
        </w:rPr>
      </w:pPr>
      <w:r w:rsidDel="00000000" w:rsidR="00000000" w:rsidRPr="00000000">
        <w:rPr>
          <w:color w:val="000000"/>
          <w:rtl w:val="0"/>
        </w:rPr>
        <w:t xml:space="preserve">La dimensión Infraestructura se enfoca en la percepción de las entidades territoriales frente a la suficiencia y disponibilidad de recursos humanos, tecnológicos y financieros para la generación, procesamiento, análisis y difusión de información estadística. Asimismo, evalúa el uso de herramientas de procesamiento de datos para la gestión de información estadística. Esta dimensión está conformada por dos subdimensiones: Percepción de recursos humanos, tecnológicos y financieros y </w:t>
      </w:r>
      <w:r w:rsidDel="00000000" w:rsidR="00000000" w:rsidRPr="00000000">
        <w:rPr>
          <w:color w:val="000000"/>
          <w:rtl w:val="0"/>
        </w:rPr>
        <w:t xml:space="preserve">U</w:t>
      </w:r>
      <w:r w:rsidDel="00000000" w:rsidR="00000000" w:rsidRPr="00000000">
        <w:rPr>
          <w:color w:val="000000"/>
          <w:rtl w:val="0"/>
        </w:rPr>
        <w:t xml:space="preserve">so de herramientas de procesamiento de datos (DANE, 2025). </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60" w:before="0" w:line="278.00000000000006" w:lineRule="auto"/>
        <w:ind w:left="1728" w:right="0" w:hanging="648"/>
        <w:jc w:val="both"/>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Percepción de recursos humanos, tecnológicos y financieros </w:t>
      </w:r>
    </w:p>
    <w:p w:rsidR="00000000" w:rsidDel="00000000" w:rsidP="00000000" w:rsidRDefault="00000000" w:rsidRPr="00000000" w14:paraId="0000002C">
      <w:pPr>
        <w:jc w:val="both"/>
        <w:rPr>
          <w:color w:val="000000"/>
        </w:rPr>
      </w:pPr>
      <w:r w:rsidDel="00000000" w:rsidR="00000000" w:rsidRPr="00000000">
        <w:rPr>
          <w:color w:val="000000"/>
          <w:rtl w:val="0"/>
        </w:rPr>
        <w:t xml:space="preserve">En esta subdimensión el departamento de Santander obtuvo un puntaje de 50 puntos. Los tres indicadores que conforman esta subdimensión obtuvieron un puntaje de 50 puntos, lo que evidencia que aún persisten limitaciones en la disponibilidad de recursos para el desarrollo de actividades estadísticas y de analítica de datos en el departamento. (</w:t>
      </w:r>
      <w:r w:rsidDel="00000000" w:rsidR="00000000" w:rsidRPr="00000000">
        <w:rPr>
          <w:b w:val="1"/>
          <w:bCs w:val="1"/>
          <w:color w:val="000000"/>
          <w:rtl w:val="0"/>
        </w:rPr>
        <w:t xml:space="preserve">Ver Gráfica 6)</w:t>
      </w:r>
      <w:r w:rsidDel="00000000" w:rsidR="00000000" w:rsidRPr="00000000">
        <w:rPr>
          <w:rtl w:val="0"/>
        </w:rPr>
      </w:r>
    </w:p>
    <w:p w:rsidR="00000000" w:rsidDel="00000000" w:rsidP="00000000" w:rsidRDefault="00000000" w:rsidRPr="00000000" w14:paraId="0000002D">
      <w:pPr>
        <w:jc w:val="center"/>
        <w:rPr>
          <w:color w:val="000000"/>
        </w:rPr>
      </w:pPr>
      <w:r w:rsidDel="00000000" w:rsidR="00000000" w:rsidRPr="00000000">
        <w:rPr>
          <w:b w:val="1"/>
          <w:bCs w:val="1"/>
          <w:color w:val="000000"/>
          <w:rtl w:val="0"/>
        </w:rPr>
        <w:t xml:space="preserve">Gráfica 6.  </w:t>
      </w:r>
      <w:r w:rsidDel="00000000" w:rsidR="00000000" w:rsidRPr="00000000">
        <w:rPr>
          <w:color w:val="000000"/>
          <w:rtl w:val="0"/>
        </w:rPr>
        <w:t xml:space="preserve">Resultado de la Subdimensión Percepción de recursos humanos, tecnológicos y financieros, 2024 </w:t>
      </w:r>
    </w:p>
    <w:p w:rsidR="00000000" w:rsidDel="00000000" w:rsidP="00000000" w:rsidRDefault="00000000" w:rsidRPr="00000000" w14:paraId="0000002E">
      <w:pPr>
        <w:jc w:val="center"/>
        <w:rPr>
          <w:b w:val="1"/>
          <w:bCs w:val="1"/>
          <w:color w:val="000000"/>
          <w:sz w:val="22"/>
          <w:szCs w:val="22"/>
        </w:rPr>
      </w:pPr>
      <w:r w:rsidDel="00000000" w:rsidR="00000000" w:rsidRPr="00000000">
        <w:rPr>
          <w:color w:val="000000"/>
        </w:rPr>
        <w:drawing>
          <wp:inline distB="0" distT="0" distL="0" distR="0">
            <wp:extent cx="5242560" cy="3246120"/>
            <wp:effectExtent b="0" l="0" r="0" t="0"/>
            <wp:docPr id="7" name="image3.png"/>
            <a:graphic>
              <a:graphicData uri="http://schemas.openxmlformats.org/drawingml/2006/picture">
                <pic:pic>
                  <pic:nvPicPr>
                    <pic:cNvPr id="0" name="image3.png"/>
                    <pic:cNvPicPr preferRelativeResize="0"/>
                  </pic:nvPicPr>
                  <pic:blipFill>
                    <a:blip r:embed="rId14"/>
                    <a:srcRect b="0" l="0" r="0" t="0"/>
                    <a:stretch>
                      <a:fillRect/>
                    </a:stretch>
                  </pic:blipFill>
                  <pic:spPr>
                    <a:xfrm>
                      <a:off x="0" y="0"/>
                      <a:ext cx="5242560" cy="3246120"/>
                    </a:xfrm>
                    <a:prstGeom prst="rect"/>
                    <a:ln/>
                  </pic:spPr>
                </pic:pic>
              </a:graphicData>
            </a:graphic>
          </wp:inline>
        </w:drawing>
      </w:r>
      <w:r w:rsidDel="00000000" w:rsidR="00000000" w:rsidRPr="00000000">
        <w:rPr>
          <w:b w:val="1"/>
          <w:bCs w:val="1"/>
          <w:color w:val="000000"/>
          <w:sz w:val="22"/>
          <w:szCs w:val="22"/>
          <w:rtl w:val="0"/>
        </w:rPr>
        <w:t xml:space="preserve">Fuente: </w:t>
      </w:r>
      <w:r w:rsidDel="00000000" w:rsidR="00000000" w:rsidRPr="00000000">
        <w:rPr>
          <w:color w:val="000000"/>
          <w:sz w:val="22"/>
          <w:szCs w:val="22"/>
          <w:rtl w:val="0"/>
        </w:rPr>
        <w:t xml:space="preserve">Elaboración propia a partir del DANE</w:t>
      </w:r>
      <w:r w:rsidDel="00000000" w:rsidR="00000000" w:rsidRPr="00000000">
        <w:rPr>
          <w:rtl w:val="0"/>
        </w:rPr>
      </w:r>
    </w:p>
    <w:p w:rsidR="00000000" w:rsidDel="00000000" w:rsidP="00000000" w:rsidRDefault="00000000" w:rsidRPr="00000000" w14:paraId="0000002F">
      <w:pPr>
        <w:jc w:val="both"/>
        <w:rPr>
          <w:color w:val="000000"/>
        </w:rPr>
      </w:pPr>
      <w:r w:rsidDel="00000000" w:rsidR="00000000" w:rsidRPr="00000000">
        <w:rPr>
          <w:color w:val="000000"/>
          <w:rtl w:val="0"/>
        </w:rPr>
        <w:t xml:space="preserve">Persisten retos relacionados con el fortalecimiento del talento humano requerido para atender las necesidades técnicas y operativas derivadas de la implementación del Plan Estadístico, la gestión de indicadores y demás procesos asociados a la actividad estadística.</w:t>
      </w:r>
    </w:p>
    <w:p w:rsidR="00000000" w:rsidDel="00000000" w:rsidP="00000000" w:rsidRDefault="00000000" w:rsidRPr="00000000" w14:paraId="00000030">
      <w:pPr>
        <w:jc w:val="both"/>
        <w:rPr>
          <w:color w:val="000000"/>
        </w:rPr>
      </w:pPr>
      <w:r w:rsidDel="00000000" w:rsidR="00000000" w:rsidRPr="00000000">
        <w:rPr>
          <w:color w:val="000000"/>
          <w:rtl w:val="0"/>
        </w:rPr>
        <w:t xml:space="preserve">Aunque actualmente la entidad cuenta con un equipo técnico conformado por profesionales encargados de la gestión estadística institucional, se reconoce que, frente a los requerimientos establecidos en políticas como el Modelo Integrado de Planeación y Gestión (MIPG), la capacidad instalada continúa siendo limitada para atender integralmente las necesidades institucionales relacionadas con producción, gestión y aprovechamiento de información estadística.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60" w:before="0" w:line="278.00000000000006" w:lineRule="auto"/>
        <w:ind w:left="1728" w:right="0" w:hanging="648"/>
        <w:jc w:val="both"/>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Uso de herramientas de procesamiento de datos</w:t>
      </w: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superscript"/>
        </w:rPr>
        <w:footnoteReference w:customMarkFollows="0" w:id="1"/>
      </w: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2">
      <w:pPr>
        <w:jc w:val="both"/>
        <w:rPr>
          <w:color w:val="000000"/>
        </w:rPr>
      </w:pPr>
      <w:r w:rsidDel="00000000" w:rsidR="00000000" w:rsidRPr="00000000">
        <w:rPr>
          <w:color w:val="000000"/>
          <w:rtl w:val="0"/>
        </w:rPr>
        <w:t xml:space="preserve">La subdimensión Uso de herramientas de procesamiento de datos presentó un resultado de 25 puntos, uno de los desempeños más bajos. En cuanto a los indicadores que la conforman, </w:t>
      </w:r>
      <w:r w:rsidDel="00000000" w:rsidR="00000000" w:rsidRPr="00000000">
        <w:rPr>
          <w:color w:val="000000"/>
          <w:rtl w:val="0"/>
        </w:rPr>
        <w:t xml:space="preserve">se obtuvo una puntuación de 50 en el uso de </w:t>
      </w:r>
      <w:r w:rsidDel="00000000" w:rsidR="00000000" w:rsidRPr="00000000">
        <w:rPr>
          <w:i w:val="1"/>
          <w:iCs w:val="1"/>
          <w:color w:val="000000"/>
          <w:rtl w:val="0"/>
        </w:rPr>
        <w:t xml:space="preserve">Herramientas de Procesamiento de Datos Estadísticos</w:t>
      </w:r>
      <w:r w:rsidDel="00000000" w:rsidR="00000000" w:rsidRPr="00000000">
        <w:rPr>
          <w:i w:val="1"/>
          <w:iCs w:val="1"/>
          <w:color w:val="000000"/>
          <w:rtl w:val="0"/>
        </w:rPr>
        <w:t xml:space="preserve">.</w:t>
      </w:r>
      <w:r w:rsidDel="00000000" w:rsidR="00000000" w:rsidRPr="00000000">
        <w:rPr>
          <w:color w:val="000000"/>
          <w:rtl w:val="0"/>
        </w:rPr>
        <w:t xml:space="preserve"> Por el contrario, como se observa en la </w:t>
      </w:r>
      <w:r w:rsidDel="00000000" w:rsidR="00000000" w:rsidRPr="00000000">
        <w:rPr>
          <w:b w:val="1"/>
          <w:bCs w:val="1"/>
          <w:color w:val="000000"/>
          <w:rtl w:val="0"/>
        </w:rPr>
        <w:t xml:space="preserve">Gráfica 7</w:t>
      </w:r>
      <w:r w:rsidDel="00000000" w:rsidR="00000000" w:rsidRPr="00000000">
        <w:rPr>
          <w:color w:val="000000"/>
          <w:rtl w:val="0"/>
        </w:rPr>
        <w:t xml:space="preserve">, el indicador relacionado con el </w:t>
      </w:r>
      <w:r w:rsidDel="00000000" w:rsidR="00000000" w:rsidRPr="00000000">
        <w:rPr>
          <w:i w:val="1"/>
          <w:iCs w:val="1"/>
          <w:color w:val="000000"/>
          <w:rtl w:val="0"/>
        </w:rPr>
        <w:t xml:space="preserve">Uso de Gestores de Bases de Datos para Operaciones Estadísticas</w:t>
      </w:r>
      <w:r w:rsidDel="00000000" w:rsidR="00000000" w:rsidRPr="00000000">
        <w:rPr>
          <w:color w:val="000000"/>
          <w:rtl w:val="0"/>
        </w:rPr>
        <w:t xml:space="preserve">,</w:t>
      </w:r>
      <w:r w:rsidDel="00000000" w:rsidR="00000000" w:rsidRPr="00000000">
        <w:rPr>
          <w:color w:val="000000"/>
          <w:rtl w:val="0"/>
        </w:rPr>
        <w:t xml:space="preserve"> registros administrativos e indicadores presentó un puntaje de 0. </w:t>
      </w:r>
    </w:p>
    <w:p w:rsidR="00000000" w:rsidDel="00000000" w:rsidP="00000000" w:rsidRDefault="00000000" w:rsidRPr="00000000" w14:paraId="00000033">
      <w:pPr>
        <w:jc w:val="both"/>
        <w:rPr>
          <w:color w:val="000000"/>
        </w:rPr>
      </w:pPr>
      <w:r w:rsidDel="00000000" w:rsidR="00000000" w:rsidRPr="00000000">
        <w:rPr>
          <w:color w:val="ee0000"/>
          <w:rtl w:val="0"/>
        </w:rPr>
        <w:t xml:space="preserve">Estos resultados evidencian avances parciales en el uso de herramientas </w:t>
      </w:r>
      <w:r w:rsidDel="00000000" w:rsidR="00000000" w:rsidRPr="00000000">
        <w:rPr>
          <w:color w:val="000000"/>
          <w:rtl w:val="0"/>
        </w:rPr>
        <w:t xml:space="preserve">para el análisis y procesamiento de información estadística, pero también limitaciones en la implementación de sistemas estructurados para la administración y gestión de bases de datos institucionales. Lo anterior se relaciona, entre otros aspectos, con la ausencia de operaciones estadísticas oficiales en la entidad y con el manejo de algunos registros administrativos mediante herramientas ofimáticas o por terceros externos.</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693434</wp:posOffset>
                </wp:positionH>
                <wp:positionV relativeFrom="paragraph">
                  <wp:posOffset>369776</wp:posOffset>
                </wp:positionV>
                <wp:extent cx="4225261" cy="1194982"/>
                <wp:effectExtent b="0" l="0" r="0" t="0"/>
                <wp:wrapNone/>
                <wp:docPr id="3" name=""/>
                <a:graphic>
                  <a:graphicData uri="http://schemas.microsoft.com/office/word/2010/wordprocessingShape">
                    <wps:wsp>
                      <wps:cNvSpPr/>
                      <wps:cNvPr id="4" name="Shape 4"/>
                      <wps:spPr>
                        <a:xfrm>
                          <a:off x="3246070" y="3195209"/>
                          <a:ext cx="4199861" cy="1169582"/>
                        </a:xfrm>
                        <a:prstGeom prst="rect">
                          <a:avLst/>
                        </a:prstGeom>
                        <a:gradFill>
                          <a:gsLst>
                            <a:gs pos="0">
                              <a:srgbClr val="F4B6A2"/>
                            </a:gs>
                            <a:gs pos="50000">
                              <a:srgbClr val="F1AA93"/>
                            </a:gs>
                            <a:gs pos="100000">
                              <a:srgbClr val="F49C7F"/>
                            </a:gs>
                          </a:gsLst>
                          <a:lin ang="5400000" scaled="0"/>
                        </a:gradFill>
                        <a:ln cap="flat" cmpd="sng" w="12700">
                          <a:solidFill>
                            <a:schemeClr val="accent2"/>
                          </a:solidFill>
                          <a:prstDash val="solid"/>
                          <a:miter lim="80"/>
                          <a:headEnd len="sm" w="sm" type="none"/>
                          <a:tailEnd len="sm" w="sm" type="none"/>
                        </a:ln>
                      </wps:spPr>
                      <wps:txbx>
                        <w:txbxContent>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Aptos" w:cs="Aptos" w:eastAsia="Aptos" w:hAnsi="Aptos"/>
                                <w:b w:val="0"/>
                                <w:i w:val="0"/>
                                <w:smallCaps w:val="0"/>
                                <w:strike w:val="0"/>
                                <w:color w:val="000000"/>
                                <w:sz w:val="24"/>
                                <w:vertAlign w:val="baseline"/>
                              </w:rPr>
                              <w:t xml:space="preserve">Según de resultado del uso de herramientas, no se ha avanzado. Al revés, la evaluación  ha reducido desde 2023.</w:t>
                            </w:r>
                          </w:p>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Aptos" w:cs="Aptos" w:eastAsia="Aptos" w:hAnsi="Aptos"/>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693434</wp:posOffset>
                </wp:positionH>
                <wp:positionV relativeFrom="paragraph">
                  <wp:posOffset>369776</wp:posOffset>
                </wp:positionV>
                <wp:extent cx="4225261" cy="1194982"/>
                <wp:effectExtent b="0" l="0" r="0" t="0"/>
                <wp:wrapNone/>
                <wp:docPr id="3" name="image16.png"/>
                <a:graphic>
                  <a:graphicData uri="http://schemas.openxmlformats.org/drawingml/2006/picture">
                    <pic:pic>
                      <pic:nvPicPr>
                        <pic:cNvPr id="0" name="image16.png"/>
                        <pic:cNvPicPr preferRelativeResize="0"/>
                      </pic:nvPicPr>
                      <pic:blipFill>
                        <a:blip r:embed="rId8"/>
                        <a:srcRect/>
                        <a:stretch>
                          <a:fillRect/>
                        </a:stretch>
                      </pic:blipFill>
                      <pic:spPr>
                        <a:xfrm>
                          <a:off x="0" y="0"/>
                          <a:ext cx="4225261" cy="1194982"/>
                        </a:xfrm>
                        <a:prstGeom prst="rect"/>
                        <a:ln/>
                      </pic:spPr>
                    </pic:pic>
                  </a:graphicData>
                </a:graphic>
              </wp:anchor>
            </w:drawing>
          </mc:Fallback>
        </mc:AlternateContent>
      </w:r>
    </w:p>
    <w:p w:rsidR="00000000" w:rsidDel="00000000" w:rsidP="00000000" w:rsidRDefault="00000000" w:rsidRPr="00000000" w14:paraId="00000034">
      <w:pPr>
        <w:jc w:val="center"/>
        <w:rPr>
          <w:color w:val="000000"/>
        </w:rPr>
      </w:pPr>
      <w:r w:rsidDel="00000000" w:rsidR="00000000" w:rsidRPr="00000000">
        <w:rPr>
          <w:b w:val="1"/>
          <w:bCs w:val="1"/>
          <w:color w:val="000000"/>
          <w:rtl w:val="0"/>
        </w:rPr>
        <w:t xml:space="preserve">Gráfica 7.  </w:t>
      </w:r>
      <w:r w:rsidDel="00000000" w:rsidR="00000000" w:rsidRPr="00000000">
        <w:rPr>
          <w:color w:val="000000"/>
          <w:rtl w:val="0"/>
        </w:rPr>
        <w:t xml:space="preserve">Resultado de la Subdimensión Uso de herramientas de procesamiento de datos, 2024</w:t>
      </w:r>
    </w:p>
    <w:p w:rsidR="00000000" w:rsidDel="00000000" w:rsidP="00000000" w:rsidRDefault="00000000" w:rsidRPr="00000000" w14:paraId="00000035">
      <w:pPr>
        <w:jc w:val="center"/>
        <w:rPr>
          <w:b w:val="1"/>
          <w:bCs w:val="1"/>
          <w:color w:val="000000"/>
        </w:rPr>
      </w:pPr>
      <w:r w:rsidDel="00000000" w:rsidR="00000000" w:rsidRPr="00000000">
        <w:rPr>
          <w:color w:val="000000"/>
        </w:rPr>
        <w:drawing>
          <wp:inline distB="0" distT="0" distL="0" distR="0">
            <wp:extent cx="4562800" cy="2821051"/>
            <wp:effectExtent b="0" l="0" r="0" t="0"/>
            <wp:docPr id="5" name="image7.png"/>
            <a:graphic>
              <a:graphicData uri="http://schemas.openxmlformats.org/drawingml/2006/picture">
                <pic:pic>
                  <pic:nvPicPr>
                    <pic:cNvPr id="0" name="image7.png"/>
                    <pic:cNvPicPr preferRelativeResize="0"/>
                  </pic:nvPicPr>
                  <pic:blipFill>
                    <a:blip r:embed="rId15"/>
                    <a:srcRect b="0" l="0" r="0" t="0"/>
                    <a:stretch>
                      <a:fillRect/>
                    </a:stretch>
                  </pic:blipFill>
                  <pic:spPr>
                    <a:xfrm>
                      <a:off x="0" y="0"/>
                      <a:ext cx="4562800" cy="2821051"/>
                    </a:xfrm>
                    <a:prstGeom prst="rect"/>
                    <a:ln/>
                  </pic:spPr>
                </pic:pic>
              </a:graphicData>
            </a:graphic>
          </wp:inline>
        </w:drawing>
      </w:r>
      <w:r w:rsidDel="00000000" w:rsidR="00000000" w:rsidRPr="00000000">
        <w:rPr>
          <w:rtl w:val="0"/>
        </w:rPr>
      </w:r>
    </w:p>
    <w:p w:rsidR="00000000" w:rsidDel="00000000" w:rsidP="00000000" w:rsidRDefault="00000000" w:rsidRPr="00000000" w14:paraId="00000036">
      <w:pPr>
        <w:jc w:val="center"/>
        <w:rPr>
          <w:b w:val="1"/>
          <w:bCs w:val="1"/>
          <w:color w:val="000000"/>
        </w:rPr>
      </w:pPr>
      <w:r w:rsidDel="00000000" w:rsidR="00000000" w:rsidRPr="00000000">
        <w:rPr>
          <w:b w:val="1"/>
          <w:bCs w:val="1"/>
          <w:color w:val="000000"/>
          <w:rtl w:val="0"/>
        </w:rPr>
        <w:t xml:space="preserve">Fuente: </w:t>
      </w:r>
      <w:r w:rsidDel="00000000" w:rsidR="00000000" w:rsidRPr="00000000">
        <w:rPr>
          <w:color w:val="000000"/>
          <w:sz w:val="22"/>
          <w:szCs w:val="22"/>
          <w:rtl w:val="0"/>
        </w:rPr>
        <w:t xml:space="preserve">Elaboración propia a partir del DANE</w:t>
      </w:r>
      <w:r w:rsidDel="00000000" w:rsidR="00000000" w:rsidRPr="00000000">
        <w:rPr>
          <w:rtl w:val="0"/>
        </w:rPr>
      </w:r>
    </w:p>
    <w:p w:rsidR="00000000" w:rsidDel="00000000" w:rsidP="00000000" w:rsidRDefault="00000000" w:rsidRPr="00000000" w14:paraId="00000037">
      <w:pPr>
        <w:jc w:val="both"/>
        <w:rPr>
          <w:color w:val="000000"/>
        </w:rPr>
      </w:pPr>
      <w:r w:rsidDel="00000000" w:rsidR="00000000" w:rsidRPr="00000000">
        <w:rPr>
          <w:color w:val="000000"/>
          <w:rtl w:val="0"/>
        </w:rPr>
        <w:t xml:space="preserve">No obstante, la Gobernación de Santander ha fortalecido progresivamente el uso de herramientas para la gestión y difusión de información estadística, mediante la consolidación y caracterización de la Línea Base de Indicadores (LBI) y la implementación de tableros de seguimiento y visualización desarrollados en Power BI, orientados a facilitar la consulta y análisis de indicadores estratégicos para el departamento.</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60" w:before="0" w:line="278.00000000000006" w:lineRule="auto"/>
        <w:ind w:left="1224" w:right="0" w:hanging="504.00000000000006"/>
        <w:jc w:val="both"/>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Dimensión de Metodología estadística </w:t>
      </w:r>
    </w:p>
    <w:p w:rsidR="00000000" w:rsidDel="00000000" w:rsidP="00000000" w:rsidRDefault="00000000" w:rsidRPr="00000000" w14:paraId="00000039">
      <w:pPr>
        <w:jc w:val="both"/>
        <w:rPr>
          <w:color w:val="000000"/>
        </w:rPr>
      </w:pPr>
      <w:r w:rsidDel="00000000" w:rsidR="00000000" w:rsidRPr="00000000">
        <w:rPr>
          <w:color w:val="000000"/>
          <w:rtl w:val="0"/>
        </w:rPr>
        <w:t xml:space="preserve">Esta dimensión analiza la capacidad de las entidades territoriales para producir información estadística mediante la implementación de lineamientos, normas y estándares estadísticos para la producción y difusión de información. Está conformada por tres subdimensiones: Formulación de indicadores, Aprovechamiento de registros administrativos y Operaciones estadísticas (DANE, 2025).</w:t>
      </w:r>
    </w:p>
    <w:p w:rsidR="00000000" w:rsidDel="00000000" w:rsidP="00000000" w:rsidRDefault="00000000" w:rsidRPr="00000000" w14:paraId="0000003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60" w:before="0" w:line="278.00000000000006" w:lineRule="auto"/>
        <w:ind w:left="1728" w:right="0" w:hanging="648"/>
        <w:jc w:val="both"/>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Formulación de indicadores   </w:t>
      </w:r>
    </w:p>
    <w:p w:rsidR="00000000" w:rsidDel="00000000" w:rsidP="00000000" w:rsidRDefault="00000000" w:rsidRPr="00000000" w14:paraId="0000003B">
      <w:pPr>
        <w:jc w:val="both"/>
        <w:rPr>
          <w:color w:val="000000"/>
        </w:rPr>
      </w:pPr>
      <w:r w:rsidDel="00000000" w:rsidR="00000000" w:rsidRPr="00000000">
        <w:rPr>
          <w:color w:val="000000"/>
          <w:rtl w:val="0"/>
        </w:rPr>
        <w:t xml:space="preserve">En la subdimensión Formulación de in</w:t>
      </w:r>
      <w:r w:rsidDel="00000000" w:rsidR="00000000" w:rsidRPr="00000000">
        <w:rPr>
          <w:color w:val="000000"/>
          <w:rtl w:val="0"/>
        </w:rPr>
        <w:t xml:space="preserve">dicad</w:t>
      </w:r>
      <w:r w:rsidDel="00000000" w:rsidR="00000000" w:rsidRPr="00000000">
        <w:rPr>
          <w:color w:val="000000"/>
          <w:rtl w:val="0"/>
        </w:rPr>
        <w:t xml:space="preserve">ores, el departamento de Santander obtuvo un puntaje de 91 puntos, siendo la subdimensión que presenta el mejor desempeño para el año 2024, como se observa en la </w:t>
      </w:r>
      <w:r w:rsidDel="00000000" w:rsidR="00000000" w:rsidRPr="00000000">
        <w:rPr>
          <w:b w:val="1"/>
          <w:bCs w:val="1"/>
          <w:color w:val="000000"/>
          <w:rtl w:val="0"/>
        </w:rPr>
        <w:t xml:space="preserve">Grafica 8</w:t>
      </w:r>
      <w:r w:rsidDel="00000000" w:rsidR="00000000" w:rsidRPr="00000000">
        <w:rPr>
          <w:color w:val="000000"/>
          <w:rtl w:val="0"/>
        </w:rPr>
        <w:t xml:space="preserve">.  </w:t>
      </w:r>
    </w:p>
    <w:p w:rsidR="00000000" w:rsidDel="00000000" w:rsidP="00000000" w:rsidRDefault="00000000" w:rsidRPr="00000000" w14:paraId="0000003C">
      <w:pPr>
        <w:jc w:val="center"/>
        <w:rPr>
          <w:color w:val="000000"/>
        </w:rPr>
      </w:pPr>
      <w:r w:rsidDel="00000000" w:rsidR="00000000" w:rsidRPr="00000000">
        <w:rPr>
          <w:b w:val="1"/>
          <w:bCs w:val="1"/>
          <w:color w:val="000000"/>
          <w:rtl w:val="0"/>
        </w:rPr>
        <w:t xml:space="preserve">Gráfica 8.  </w:t>
      </w:r>
      <w:r w:rsidDel="00000000" w:rsidR="00000000" w:rsidRPr="00000000">
        <w:rPr>
          <w:color w:val="000000"/>
          <w:rtl w:val="0"/>
        </w:rPr>
        <w:t xml:space="preserve">Resultado de la Subdimensión Formulación de indicadores, 2024</w:t>
      </w:r>
    </w:p>
    <w:p w:rsidR="00000000" w:rsidDel="00000000" w:rsidP="00000000" w:rsidRDefault="00000000" w:rsidRPr="00000000" w14:paraId="0000003D">
      <w:pPr>
        <w:jc w:val="both"/>
        <w:rPr>
          <w:color w:val="000000"/>
        </w:rPr>
      </w:pPr>
      <w:r w:rsidDel="00000000" w:rsidR="00000000" w:rsidRPr="00000000">
        <w:rPr>
          <w:color w:val="000000"/>
        </w:rPr>
        <w:drawing>
          <wp:inline distB="0" distT="0" distL="0" distR="0">
            <wp:extent cx="5448300" cy="2857500"/>
            <wp:effectExtent b="0" l="0" r="0" t="0"/>
            <wp:docPr id="10" name="image5.png"/>
            <a:graphic>
              <a:graphicData uri="http://schemas.openxmlformats.org/drawingml/2006/picture">
                <pic:pic>
                  <pic:nvPicPr>
                    <pic:cNvPr id="0" name="image5.png"/>
                    <pic:cNvPicPr preferRelativeResize="0"/>
                  </pic:nvPicPr>
                  <pic:blipFill>
                    <a:blip r:embed="rId16"/>
                    <a:srcRect b="0" l="0" r="0" t="0"/>
                    <a:stretch>
                      <a:fillRect/>
                    </a:stretch>
                  </pic:blipFill>
                  <pic:spPr>
                    <a:xfrm>
                      <a:off x="0" y="0"/>
                      <a:ext cx="5448300" cy="2857500"/>
                    </a:xfrm>
                    <a:prstGeom prst="rect"/>
                    <a:ln/>
                  </pic:spPr>
                </pic:pic>
              </a:graphicData>
            </a:graphic>
          </wp:inline>
        </w:drawing>
      </w:r>
      <w:r w:rsidDel="00000000" w:rsidR="00000000" w:rsidRPr="00000000">
        <w:rPr>
          <w:color w:val="000000"/>
          <w:rtl w:val="0"/>
        </w:rPr>
        <w:t xml:space="preserve"> </w:t>
      </w:r>
    </w:p>
    <w:p w:rsidR="00000000" w:rsidDel="00000000" w:rsidP="00000000" w:rsidRDefault="00000000" w:rsidRPr="00000000" w14:paraId="0000003E">
      <w:pPr>
        <w:jc w:val="center"/>
        <w:rPr>
          <w:b w:val="1"/>
          <w:bCs w:val="1"/>
          <w:color w:val="000000"/>
          <w:sz w:val="22"/>
          <w:szCs w:val="22"/>
        </w:rPr>
      </w:pPr>
      <w:r w:rsidDel="00000000" w:rsidR="00000000" w:rsidRPr="00000000">
        <w:rPr>
          <w:b w:val="1"/>
          <w:bCs w:val="1"/>
          <w:color w:val="000000"/>
          <w:sz w:val="22"/>
          <w:szCs w:val="22"/>
          <w:rtl w:val="0"/>
        </w:rPr>
        <w:t xml:space="preserve">Fuente: </w:t>
      </w:r>
      <w:r w:rsidDel="00000000" w:rsidR="00000000" w:rsidRPr="00000000">
        <w:rPr>
          <w:color w:val="000000"/>
          <w:sz w:val="22"/>
          <w:szCs w:val="22"/>
          <w:rtl w:val="0"/>
        </w:rPr>
        <w:t xml:space="preserve">Elaboración propia a partir del DANE</w:t>
      </w:r>
      <w:r w:rsidDel="00000000" w:rsidR="00000000" w:rsidRPr="00000000">
        <w:rPr>
          <w:rtl w:val="0"/>
        </w:rPr>
      </w:r>
    </w:p>
    <w:p w:rsidR="00000000" w:rsidDel="00000000" w:rsidP="00000000" w:rsidRDefault="00000000" w:rsidRPr="00000000" w14:paraId="0000003F">
      <w:pPr>
        <w:jc w:val="both"/>
        <w:rPr>
          <w:color w:val="000000"/>
        </w:rPr>
      </w:pPr>
      <w:r w:rsidDel="00000000" w:rsidR="00000000" w:rsidRPr="00000000">
        <w:rPr>
          <w:color w:val="000000"/>
          <w:rtl w:val="0"/>
        </w:rPr>
        <w:t xml:space="preserve">Estos resultados evidencian un fortalecimiento progresivo en los procesos de formulación, revisión y documentación técnica de indicadores estratégicos para el seguimiento de políticas, planes y programas institucionales. No obstante, persisten retos asociados a la formulación técnica de los documentos de soporte de los indicadores y al fortalecimiento metodológico de los procesos de diseño y seguimiento de indicadores de política pública.</w:t>
      </w:r>
    </w:p>
    <w:p w:rsidR="00000000" w:rsidDel="00000000" w:rsidP="00000000" w:rsidRDefault="00000000" w:rsidRPr="00000000" w14:paraId="00000040">
      <w:pPr>
        <w:rPr>
          <w:color w:val="000000"/>
        </w:rPr>
      </w:pPr>
      <w:r w:rsidDel="00000000" w:rsidR="00000000" w:rsidRPr="00000000">
        <w:rPr>
          <w:color w:val="000000"/>
          <w:rtl w:val="0"/>
        </w:rPr>
        <w:t xml:space="preserve">En este sentido, la Gobernación del Departamento de Santander </w:t>
      </w:r>
      <w:r w:rsidDel="00000000" w:rsidR="00000000" w:rsidRPr="00000000">
        <w:rPr>
          <w:color w:val="ee0000"/>
          <w:rtl w:val="0"/>
        </w:rPr>
        <w:t xml:space="preserve">ha avanzado </w:t>
      </w:r>
      <w:r w:rsidDel="00000000" w:rsidR="00000000" w:rsidRPr="00000000">
        <w:rPr>
          <w:color w:val="000000"/>
          <w:rtl w:val="0"/>
        </w:rPr>
        <w:t xml:space="preserve">en la implementación de procedimientos orientados a mejorar el diseño y revisión técnica de indicadores, especialmente aquellos asociados a políticas públicas, mediante la emisión de conceptos técnicos por parte de la Secretaría de Planeación antes de su aprobación o trámite ante otras instancias institucionales.</w:t>
      </w:r>
    </w:p>
    <w:p w:rsidR="00000000" w:rsidDel="00000000" w:rsidP="00000000" w:rsidRDefault="00000000" w:rsidRPr="00000000" w14:paraId="00000041">
      <w:pPr>
        <w:jc w:val="both"/>
        <w:rPr>
          <w:b w:val="1"/>
          <w:bCs w:val="1"/>
          <w:color w:val="000000"/>
          <w:sz w:val="22"/>
          <w:szCs w:val="22"/>
        </w:rPr>
      </w:pPr>
      <w:r w:rsidDel="00000000" w:rsidR="00000000" w:rsidRPr="00000000">
        <w:rPr>
          <w:color w:val="000000"/>
          <w:rtl w:val="0"/>
        </w:rPr>
        <w:t xml:space="preserve">Asimismo, a partir de los procesos de caracterización y consolidación de indicadores institucionales, se ha fortalecido la elaboración y publicación de fichas técnicas y hojas de vida, incorporando información histórica y series de tiempo de acuerdo con la disponibilidad de información. Actualmente, la entidad cuenta con XXX  indicadores publicados y XXX en proceso de publicación a través de los mecanismos institucionales de difusión de información estadística.</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60" w:before="0" w:line="278.00000000000006" w:lineRule="auto"/>
        <w:ind w:left="1728" w:right="0" w:hanging="648"/>
        <w:jc w:val="both"/>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Aprovechamiento de registros administrativos  </w:t>
      </w:r>
    </w:p>
    <w:p w:rsidR="00000000" w:rsidDel="00000000" w:rsidP="00000000" w:rsidRDefault="00000000" w:rsidRPr="00000000" w14:paraId="00000043">
      <w:pPr>
        <w:jc w:val="both"/>
        <w:rPr>
          <w:color w:val="000000"/>
        </w:rPr>
      </w:pPr>
      <w:r w:rsidDel="00000000" w:rsidR="00000000" w:rsidRPr="00000000">
        <w:rPr>
          <w:color w:val="000000"/>
          <w:rtl w:val="0"/>
        </w:rPr>
        <w:t xml:space="preserve">En esta subdimensión el departamento obtuvo un puntaje de 31 puntos, constituyéndose como uno de los resultados más bajos dentro de la dimensión Metodología Estadística.  </w:t>
      </w:r>
    </w:p>
    <w:p w:rsidR="00000000" w:rsidDel="00000000" w:rsidP="00000000" w:rsidRDefault="00000000" w:rsidRPr="00000000" w14:paraId="00000044">
      <w:pPr>
        <w:jc w:val="both"/>
        <w:rPr>
          <w:color w:val="000000"/>
        </w:rPr>
      </w:pPr>
      <w:r w:rsidDel="00000000" w:rsidR="00000000" w:rsidRPr="00000000">
        <w:rPr>
          <w:color w:val="000000"/>
          <w:rtl w:val="0"/>
        </w:rPr>
        <w:t xml:space="preserve">El indicador </w:t>
      </w:r>
      <w:r w:rsidDel="00000000" w:rsidR="00000000" w:rsidRPr="00000000">
        <w:rPr>
          <w:i w:val="1"/>
          <w:iCs w:val="1"/>
          <w:color w:val="000000"/>
          <w:rtl w:val="0"/>
        </w:rPr>
        <w:t xml:space="preserve">Documentos Metodológicos que hacen parte del Registro Administrativo</w:t>
      </w:r>
      <w:r w:rsidDel="00000000" w:rsidR="00000000" w:rsidRPr="00000000">
        <w:rPr>
          <w:color w:val="000000"/>
          <w:rtl w:val="0"/>
        </w:rPr>
        <w:t xml:space="preserve">  obtuvo una </w:t>
      </w:r>
      <w:r w:rsidDel="00000000" w:rsidR="00000000" w:rsidRPr="00000000">
        <w:rPr>
          <w:color w:val="000000"/>
          <w:rtl w:val="0"/>
        </w:rPr>
        <w:t xml:space="preserve">puntuación de 0</w:t>
      </w:r>
      <w:r w:rsidDel="00000000" w:rsidR="00000000" w:rsidRPr="00000000">
        <w:rPr>
          <w:color w:val="000000"/>
          <w:rtl w:val="0"/>
        </w:rPr>
        <w:t xml:space="preserve">, teniendo en cuenta que, en el año 2024 se estaba realizando la identificación y caracterización de los registros administrativos, para su posterior fortalecimiento.  </w:t>
      </w:r>
    </w:p>
    <w:p w:rsidR="00000000" w:rsidDel="00000000" w:rsidP="00000000" w:rsidRDefault="00000000" w:rsidRPr="00000000" w14:paraId="00000045">
      <w:pPr>
        <w:jc w:val="both"/>
        <w:rPr>
          <w:color w:val="000000"/>
        </w:rPr>
      </w:pPr>
      <w:r w:rsidDel="00000000" w:rsidR="00000000" w:rsidRPr="00000000">
        <w:rPr>
          <w:color w:val="000000"/>
          <w:rtl w:val="0"/>
        </w:rPr>
        <w:t xml:space="preserve">Los indicadores asociados a </w:t>
      </w:r>
      <w:r w:rsidDel="00000000" w:rsidR="00000000" w:rsidRPr="00000000">
        <w:rPr>
          <w:i w:val="1"/>
          <w:iCs w:val="1"/>
          <w:color w:val="000000"/>
          <w:rtl w:val="0"/>
        </w:rPr>
        <w:t xml:space="preserve">Lineamientos Metodológicos Implementados </w:t>
      </w:r>
      <w:r w:rsidDel="00000000" w:rsidR="00000000" w:rsidRPr="00000000">
        <w:rPr>
          <w:i w:val="1"/>
          <w:iCs w:val="1"/>
          <w:color w:val="000000"/>
          <w:rtl w:val="0"/>
        </w:rPr>
        <w:t xml:space="preserve">para los Registros Administrativos</w:t>
      </w:r>
      <w:r w:rsidDel="00000000" w:rsidR="00000000" w:rsidRPr="00000000">
        <w:rPr>
          <w:color w:val="000000"/>
          <w:rtl w:val="0"/>
        </w:rPr>
        <w:t xml:space="preserve"> y </w:t>
      </w:r>
      <w:r w:rsidDel="00000000" w:rsidR="00000000" w:rsidRPr="00000000">
        <w:rPr>
          <w:i w:val="1"/>
          <w:iCs w:val="1"/>
          <w:color w:val="000000"/>
          <w:rtl w:val="0"/>
        </w:rPr>
        <w:t xml:space="preserve">Elementos Incluidos en la Ficha Metodológica de los Registros Administrativos</w:t>
      </w:r>
      <w:r w:rsidDel="00000000" w:rsidR="00000000" w:rsidRPr="00000000">
        <w:rPr>
          <w:color w:val="000000"/>
          <w:rtl w:val="0"/>
        </w:rPr>
        <w:t xml:space="preserve"> presentaron un puntaje de 50 como se observa en la </w:t>
      </w:r>
      <w:r w:rsidDel="00000000" w:rsidR="00000000" w:rsidRPr="00000000">
        <w:rPr>
          <w:b w:val="1"/>
          <w:bCs w:val="1"/>
          <w:color w:val="000000"/>
          <w:rtl w:val="0"/>
        </w:rPr>
        <w:t xml:space="preserve">Gráfica 9</w:t>
      </w:r>
      <w:r w:rsidDel="00000000" w:rsidR="00000000" w:rsidRPr="00000000">
        <w:rPr>
          <w:color w:val="000000"/>
          <w:rtl w:val="0"/>
        </w:rPr>
        <w:t xml:space="preserve">.</w:t>
      </w:r>
    </w:p>
    <w:p w:rsidR="00000000" w:rsidDel="00000000" w:rsidP="00000000" w:rsidRDefault="00000000" w:rsidRPr="00000000" w14:paraId="00000046">
      <w:pPr>
        <w:jc w:val="both"/>
        <w:rPr>
          <w:color w:val="000000"/>
        </w:rPr>
      </w:pPr>
      <w:r w:rsidDel="00000000" w:rsidR="00000000" w:rsidRPr="00000000">
        <w:rPr>
          <w:color w:val="000000"/>
          <w:rtl w:val="0"/>
        </w:rPr>
        <w:t xml:space="preserve">Estos resultados indican debilidades en la documentación, estandarización y fortalecimiento de los registros administrativos con potencial estadístico. Aunque la entidad dispone de registros administrativos en diferentes dependencias, persisten retos relacionados con la elaboración de fichas metodológicas, documentación técnica, implementación de estándares estadísticos y desarrollo de estrategias institucionales para su aprovechamiento estadístico. </w:t>
      </w:r>
    </w:p>
    <w:p w:rsidR="00000000" w:rsidDel="00000000" w:rsidP="00000000" w:rsidRDefault="00000000" w:rsidRPr="00000000" w14:paraId="00000047">
      <w:pPr>
        <w:jc w:val="both"/>
        <w:rPr>
          <w:color w:val="000000"/>
        </w:rPr>
      </w:pPr>
      <w:r w:rsidDel="00000000" w:rsidR="00000000" w:rsidRPr="00000000">
        <w:rPr>
          <w:rtl w:val="0"/>
        </w:rPr>
      </w:r>
    </w:p>
    <w:p w:rsidR="00000000" w:rsidDel="00000000" w:rsidP="00000000" w:rsidRDefault="00000000" w:rsidRPr="00000000" w14:paraId="00000048">
      <w:pPr>
        <w:jc w:val="both"/>
        <w:rPr>
          <w:color w:val="000000"/>
        </w:rPr>
      </w:pPr>
      <w:r w:rsidDel="00000000" w:rsidR="00000000" w:rsidRPr="00000000">
        <w:rPr>
          <w:rtl w:val="0"/>
        </w:rPr>
      </w:r>
    </w:p>
    <w:p w:rsidR="00000000" w:rsidDel="00000000" w:rsidP="00000000" w:rsidRDefault="00000000" w:rsidRPr="00000000" w14:paraId="00000049">
      <w:pPr>
        <w:jc w:val="both"/>
        <w:rPr>
          <w:color w:val="000000"/>
        </w:rPr>
      </w:pPr>
      <w:r w:rsidDel="00000000" w:rsidR="00000000" w:rsidRPr="00000000">
        <w:rPr>
          <w:rtl w:val="0"/>
        </w:rPr>
      </w:r>
    </w:p>
    <w:p w:rsidR="00000000" w:rsidDel="00000000" w:rsidP="00000000" w:rsidRDefault="00000000" w:rsidRPr="00000000" w14:paraId="0000004A">
      <w:pPr>
        <w:jc w:val="center"/>
        <w:rPr>
          <w:color w:val="000000"/>
        </w:rPr>
      </w:pPr>
      <w:r w:rsidDel="00000000" w:rsidR="00000000" w:rsidRPr="00000000">
        <w:rPr>
          <w:b w:val="1"/>
          <w:bCs w:val="1"/>
          <w:color w:val="000000"/>
          <w:rtl w:val="0"/>
        </w:rPr>
        <w:t xml:space="preserve">Gráfica 9. </w:t>
      </w:r>
      <w:r w:rsidDel="00000000" w:rsidR="00000000" w:rsidRPr="00000000">
        <w:rPr>
          <w:color w:val="000000"/>
          <w:rtl w:val="0"/>
        </w:rPr>
        <w:t xml:space="preserve">Resultado de la Subdimensión Aprovechamiento de registros administrativos, 2024</w:t>
      </w:r>
    </w:p>
    <w:p w:rsidR="00000000" w:rsidDel="00000000" w:rsidP="00000000" w:rsidRDefault="00000000" w:rsidRPr="00000000" w14:paraId="0000004B">
      <w:pPr>
        <w:jc w:val="center"/>
        <w:rPr>
          <w:b w:val="1"/>
          <w:bCs w:val="1"/>
          <w:color w:val="000000"/>
        </w:rPr>
      </w:pPr>
      <w:r w:rsidDel="00000000" w:rsidR="00000000" w:rsidRPr="00000000">
        <w:rPr>
          <w:color w:val="000000"/>
          <w:rtl w:val="0"/>
        </w:rPr>
        <w:t xml:space="preserve"> </w:t>
      </w:r>
      <w:r w:rsidDel="00000000" w:rsidR="00000000" w:rsidRPr="00000000">
        <w:rPr>
          <w:color w:val="000000"/>
        </w:rPr>
        <w:drawing>
          <wp:inline distB="0" distT="0" distL="0" distR="0">
            <wp:extent cx="5356860" cy="2842260"/>
            <wp:effectExtent b="0" l="0" r="0" t="0"/>
            <wp:docPr id="9" name="image1.png"/>
            <a:graphic>
              <a:graphicData uri="http://schemas.openxmlformats.org/drawingml/2006/picture">
                <pic:pic>
                  <pic:nvPicPr>
                    <pic:cNvPr id="0" name="image1.png"/>
                    <pic:cNvPicPr preferRelativeResize="0"/>
                  </pic:nvPicPr>
                  <pic:blipFill>
                    <a:blip r:embed="rId17"/>
                    <a:srcRect b="0" l="0" r="0" t="0"/>
                    <a:stretch>
                      <a:fillRect/>
                    </a:stretch>
                  </pic:blipFill>
                  <pic:spPr>
                    <a:xfrm>
                      <a:off x="0" y="0"/>
                      <a:ext cx="5356860" cy="2842260"/>
                    </a:xfrm>
                    <a:prstGeom prst="rect"/>
                    <a:ln/>
                  </pic:spPr>
                </pic:pic>
              </a:graphicData>
            </a:graphic>
          </wp:inline>
        </w:drawing>
      </w:r>
      <w:r w:rsidDel="00000000" w:rsidR="00000000" w:rsidRPr="00000000">
        <w:rPr>
          <w:rtl w:val="0"/>
        </w:rPr>
      </w:r>
    </w:p>
    <w:p w:rsidR="00000000" w:rsidDel="00000000" w:rsidP="00000000" w:rsidRDefault="00000000" w:rsidRPr="00000000" w14:paraId="0000004C">
      <w:pPr>
        <w:jc w:val="center"/>
        <w:rPr>
          <w:b w:val="1"/>
          <w:bCs w:val="1"/>
          <w:color w:val="000000"/>
        </w:rPr>
      </w:pPr>
      <w:r w:rsidDel="00000000" w:rsidR="00000000" w:rsidRPr="00000000">
        <w:rPr>
          <w:b w:val="1"/>
          <w:bCs w:val="1"/>
          <w:color w:val="000000"/>
          <w:rtl w:val="0"/>
        </w:rPr>
        <w:t xml:space="preserve">Fuente:  </w:t>
      </w:r>
      <w:r w:rsidDel="00000000" w:rsidR="00000000" w:rsidRPr="00000000">
        <w:rPr>
          <w:color w:val="000000"/>
          <w:sz w:val="22"/>
          <w:szCs w:val="22"/>
          <w:rtl w:val="0"/>
        </w:rPr>
        <w:t xml:space="preserve">Elaboración propia a partir del DANE</w:t>
      </w:r>
      <w:r w:rsidDel="00000000" w:rsidR="00000000" w:rsidRPr="00000000">
        <w:rPr>
          <w:rtl w:val="0"/>
        </w:rPr>
      </w:r>
    </w:p>
    <w:p w:rsidR="00000000" w:rsidDel="00000000" w:rsidP="00000000" w:rsidRDefault="00000000" w:rsidRPr="00000000" w14:paraId="0000004D">
      <w:pPr>
        <w:jc w:val="both"/>
        <w:rPr>
          <w:color w:val="000000"/>
        </w:rPr>
      </w:pPr>
      <w:r w:rsidDel="00000000" w:rsidR="00000000" w:rsidRPr="00000000">
        <w:rPr>
          <w:color w:val="000000"/>
          <w:rtl w:val="0"/>
        </w:rPr>
        <w:t xml:space="preserve">No obstante, la Gobernación del Departamento de Santander ha venido adelantando acciones orientadas al fortalecimiento de los registros administrativos, mediante la estructuración, publicación e implementación del Plan de Fortalecimiento de Registros Administrativos, elaborado conforme a la metodología y asistencia técnica brindada por el DANE.</w:t>
      </w:r>
    </w:p>
    <w:p w:rsidR="00000000" w:rsidDel="00000000" w:rsidP="00000000" w:rsidRDefault="00000000" w:rsidRPr="00000000" w14:paraId="0000004E">
      <w:pPr>
        <w:jc w:val="both"/>
        <w:rPr>
          <w:color w:val="000000"/>
        </w:rPr>
      </w:pPr>
      <w:r w:rsidDel="00000000" w:rsidR="00000000" w:rsidRPr="00000000">
        <w:rPr>
          <w:color w:val="000000"/>
          <w:rtl w:val="0"/>
        </w:rPr>
        <w:t xml:space="preserve">Este proceso se ha desarrollado de manera progresiva durante las vigencias 2024, 2025 y 2026, contemplando diferentes etapas para el fortalecimiento técnico y metodológico de los registros administrativos priorizados. Durante la vigencia 2025 se realizaron los procesos de caracterización y diagnóstico de veinte registros administrativos priorizados, utilizando los formatos y lineamientos metodológicos suministrados por el DANE. Estas actividades permitieron identificar aspectos relacionados con la calidad, disponibilidad, estructura, documentación y potencial estadístico de la información producida por las diferentes dependencias de la entidad. </w:t>
      </w:r>
    </w:p>
    <w:p w:rsidR="00000000" w:rsidDel="00000000" w:rsidP="00000000" w:rsidRDefault="00000000" w:rsidRPr="00000000" w14:paraId="0000004F">
      <w:pPr>
        <w:jc w:val="both"/>
        <w:rPr>
          <w:color w:val="000000"/>
        </w:rPr>
      </w:pPr>
      <w:r w:rsidDel="00000000" w:rsidR="00000000" w:rsidRPr="00000000">
        <w:rPr>
          <w:color w:val="000000"/>
          <w:rtl w:val="0"/>
        </w:rPr>
        <w:t xml:space="preserve">Posteriormente, durante la vigencia 2026, se adelanta la verificación y seguimiento de las acciones de mejora definidas en el Plan de Fortalecimiento de Registros Administrativos, así como la recolección, consolidación y validación de los documentos técnicos requeridos de los registros priorizados. Este proceso se desarrolla de manera articulada mediante mesas de trabajo con los equipos temáticos de las secretarías y dependencias responsables de los registros administrativos.</w:t>
      </w:r>
    </w:p>
    <w:p w:rsidR="00000000" w:rsidDel="00000000" w:rsidP="00000000" w:rsidRDefault="00000000" w:rsidRPr="00000000" w14:paraId="00000050">
      <w:pPr>
        <w:jc w:val="both"/>
        <w:rPr>
          <w:color w:val="000000"/>
        </w:rPr>
      </w:pPr>
      <w:r w:rsidDel="00000000" w:rsidR="00000000" w:rsidRPr="00000000">
        <w:rPr>
          <w:color w:val="000000"/>
          <w:rtl w:val="0"/>
        </w:rPr>
        <w:t xml:space="preserve">Adicionalmente, dentro de las acciones proyectadas para el fortalecimiento de los registros administrativos, se contempla la identificación y publicación de bases de datos disponibles en la plataforma Datos Abiertos, así como la identificación del potencial uso estadístico de los registros administrativos, una vez estos cumplan con las condiciones de calidad técnica requeridas por la metodología del DANE.</w:t>
      </w:r>
    </w:p>
    <w:p w:rsidR="00000000" w:rsidDel="00000000" w:rsidP="00000000" w:rsidRDefault="00000000" w:rsidRPr="00000000" w14:paraId="00000051">
      <w:pPr>
        <w:jc w:val="both"/>
        <w:rPr>
          <w:b w:val="1"/>
          <w:bCs w:val="1"/>
          <w:color w:val="000000"/>
        </w:rPr>
      </w:pPr>
      <w:r w:rsidDel="00000000" w:rsidR="00000000" w:rsidRPr="00000000">
        <w:rPr>
          <w:color w:val="000000"/>
          <w:rtl w:val="0"/>
        </w:rPr>
        <w:t xml:space="preserve">Lo anterior busca fortalecer el aprovechamiento estadístico de la información institucional, promoviendo el uso de los registros administrativos como fuente para la generación de información estadística estratégica y para la toma de decisiones dentro de la Gobernación del departamento de Santander.</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60" w:before="0" w:line="278.00000000000006" w:lineRule="auto"/>
        <w:ind w:left="1728" w:right="0" w:hanging="648"/>
        <w:jc w:val="both"/>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Operaciones estadí</w:t>
      </w: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sticas</w:t>
      </w: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3">
      <w:pPr>
        <w:jc w:val="both"/>
        <w:rPr>
          <w:color w:val="000000"/>
        </w:rPr>
      </w:pPr>
      <w:r w:rsidDel="00000000" w:rsidR="00000000" w:rsidRPr="00000000">
        <w:rPr>
          <w:color w:val="000000"/>
          <w:rtl w:val="0"/>
        </w:rPr>
        <w:t xml:space="preserve">Las operaciones estadísticas son definidas como</w:t>
      </w:r>
      <w:r w:rsidDel="00000000" w:rsidR="00000000" w:rsidRPr="00000000">
        <w:rPr>
          <w:rFonts w:ascii="Quattrocento Sans" w:cs="Quattrocento Sans" w:eastAsia="Quattrocento Sans" w:hAnsi="Quattrocento Sans"/>
          <w:color w:val="000000"/>
          <w:highlight w:val="white"/>
          <w:rtl w:val="0"/>
        </w:rPr>
        <w:t xml:space="preserve"> </w:t>
      </w:r>
      <w:r w:rsidDel="00000000" w:rsidR="00000000" w:rsidRPr="00000000">
        <w:rPr>
          <w:color w:val="000000"/>
          <w:rtl w:val="0"/>
        </w:rPr>
        <w:t xml:space="preserve">la “aplicación del conjunto de procesos y actividades que comprende la identificación de necesidades, diseño, construcción, recolección o acopio, procesamiento, análisis, difusión y evaluación, la cual conduce a la producción de información estadística sobre un tema de interés nacional o territorial” (DANE, s.f.).</w:t>
      </w:r>
    </w:p>
    <w:p w:rsidR="00000000" w:rsidDel="00000000" w:rsidP="00000000" w:rsidRDefault="00000000" w:rsidRPr="00000000" w14:paraId="00000054">
      <w:pPr>
        <w:jc w:val="both"/>
        <w:rPr>
          <w:color w:val="000000"/>
        </w:rPr>
      </w:pPr>
      <w:r w:rsidDel="00000000" w:rsidR="00000000" w:rsidRPr="00000000">
        <w:rPr>
          <w:color w:val="000000"/>
          <w:rtl w:val="0"/>
        </w:rPr>
        <w:t xml:space="preserve"> La subdimensión Operaciones estadísticas presentó un resultado de 25 puntos, siendo uno de los desempeños más bajos del ICET 2023 para el departamento de Santander. El indicador relacionado con los Elementos Incluidos en el </w:t>
      </w:r>
      <w:r w:rsidDel="00000000" w:rsidR="00000000" w:rsidRPr="00000000">
        <w:rPr>
          <w:i w:val="1"/>
          <w:iCs w:val="1"/>
          <w:color w:val="000000"/>
          <w:rtl w:val="0"/>
        </w:rPr>
        <w:t xml:space="preserve">Documento Metodológico y/o Ficha Metodológica de las Operaciones Estadísticas </w:t>
      </w:r>
      <w:r w:rsidDel="00000000" w:rsidR="00000000" w:rsidRPr="00000000">
        <w:rPr>
          <w:color w:val="000000"/>
          <w:rtl w:val="0"/>
        </w:rPr>
        <w:t xml:space="preserve">obtuvo una puntuación de 75 puntos. Sin embargo, los indicadores asociados a la implementación de </w:t>
      </w:r>
      <w:r w:rsidDel="00000000" w:rsidR="00000000" w:rsidRPr="00000000">
        <w:rPr>
          <w:i w:val="1"/>
          <w:iCs w:val="1"/>
          <w:color w:val="000000"/>
          <w:rtl w:val="0"/>
        </w:rPr>
        <w:t xml:space="preserve">Lineamientos, Normas y Estándares para Producción Estadística</w:t>
      </w:r>
      <w:r w:rsidDel="00000000" w:rsidR="00000000" w:rsidRPr="00000000">
        <w:rPr>
          <w:color w:val="000000"/>
          <w:rtl w:val="0"/>
        </w:rPr>
        <w:t xml:space="preserve"> y el indicador relacionado con la </w:t>
      </w:r>
      <w:r w:rsidDel="00000000" w:rsidR="00000000" w:rsidRPr="00000000">
        <w:rPr>
          <w:i w:val="1"/>
          <w:iCs w:val="1"/>
          <w:color w:val="000000"/>
          <w:rtl w:val="0"/>
        </w:rPr>
        <w:t xml:space="preserve">Generación de Información Estadística a partir de Fuentes Primarias y Secundarias</w:t>
      </w:r>
      <w:r w:rsidDel="00000000" w:rsidR="00000000" w:rsidRPr="00000000">
        <w:rPr>
          <w:color w:val="000000"/>
          <w:rtl w:val="0"/>
        </w:rPr>
        <w:t xml:space="preserve"> obtuvieron una puntuación de 0 (</w:t>
      </w:r>
      <w:r w:rsidDel="00000000" w:rsidR="00000000" w:rsidRPr="00000000">
        <w:rPr>
          <w:b w:val="1"/>
          <w:bCs w:val="1"/>
          <w:color w:val="000000"/>
          <w:rtl w:val="0"/>
        </w:rPr>
        <w:t xml:space="preserve">Ver Gráfica 10</w:t>
      </w:r>
      <w:r w:rsidDel="00000000" w:rsidR="00000000" w:rsidRPr="00000000">
        <w:rPr>
          <w:color w:val="000000"/>
          <w:rtl w:val="0"/>
        </w:rPr>
        <w:t xml:space="preserve">).</w:t>
      </w:r>
    </w:p>
    <w:p w:rsidR="00000000" w:rsidDel="00000000" w:rsidP="00000000" w:rsidRDefault="00000000" w:rsidRPr="00000000" w14:paraId="00000055">
      <w:pPr>
        <w:jc w:val="center"/>
        <w:rPr>
          <w:color w:val="000000"/>
        </w:rPr>
      </w:pPr>
      <w:r w:rsidDel="00000000" w:rsidR="00000000" w:rsidRPr="00000000">
        <w:rPr>
          <w:b w:val="1"/>
          <w:bCs w:val="1"/>
          <w:color w:val="000000"/>
          <w:rtl w:val="0"/>
        </w:rPr>
        <w:t xml:space="preserve">Gráfico 10. </w:t>
      </w:r>
      <w:r w:rsidDel="00000000" w:rsidR="00000000" w:rsidRPr="00000000">
        <w:rPr>
          <w:color w:val="000000"/>
          <w:rtl w:val="0"/>
        </w:rPr>
        <w:t xml:space="preserve">Resultado de la Subdimensión Operaciones estadísticas, 2024</w:t>
      </w:r>
    </w:p>
    <w:p w:rsidR="00000000" w:rsidDel="00000000" w:rsidP="00000000" w:rsidRDefault="00000000" w:rsidRPr="00000000" w14:paraId="00000056">
      <w:pPr>
        <w:jc w:val="center"/>
        <w:rPr>
          <w:b w:val="1"/>
          <w:bCs w:val="1"/>
          <w:color w:val="000000"/>
        </w:rPr>
      </w:pPr>
      <w:r w:rsidDel="00000000" w:rsidR="00000000" w:rsidRPr="00000000">
        <w:rPr>
          <w:color w:val="000000"/>
        </w:rPr>
        <w:drawing>
          <wp:inline distB="0" distT="0" distL="0" distR="0">
            <wp:extent cx="5829300" cy="2331720"/>
            <wp:effectExtent b="0" l="0" r="0" t="0"/>
            <wp:docPr id="13" name="image8.png"/>
            <a:graphic>
              <a:graphicData uri="http://schemas.openxmlformats.org/drawingml/2006/picture">
                <pic:pic>
                  <pic:nvPicPr>
                    <pic:cNvPr id="0" name="image8.png"/>
                    <pic:cNvPicPr preferRelativeResize="0"/>
                  </pic:nvPicPr>
                  <pic:blipFill>
                    <a:blip r:embed="rId18"/>
                    <a:srcRect b="0" l="0" r="0" t="0"/>
                    <a:stretch>
                      <a:fillRect/>
                    </a:stretch>
                  </pic:blipFill>
                  <pic:spPr>
                    <a:xfrm>
                      <a:off x="0" y="0"/>
                      <a:ext cx="5829300" cy="2331720"/>
                    </a:xfrm>
                    <a:prstGeom prst="rect"/>
                    <a:ln/>
                  </pic:spPr>
                </pic:pic>
              </a:graphicData>
            </a:graphic>
          </wp:inline>
        </w:drawing>
      </w:r>
      <w:r w:rsidDel="00000000" w:rsidR="00000000" w:rsidRPr="00000000">
        <w:rPr>
          <w:b w:val="1"/>
          <w:bCs w:val="1"/>
          <w:color w:val="000000"/>
          <w:rtl w:val="0"/>
        </w:rPr>
        <w:t xml:space="preserve"> </w:t>
      </w:r>
    </w:p>
    <w:p w:rsidR="00000000" w:rsidDel="00000000" w:rsidP="00000000" w:rsidRDefault="00000000" w:rsidRPr="00000000" w14:paraId="00000057">
      <w:pPr>
        <w:jc w:val="center"/>
        <w:rPr>
          <w:b w:val="1"/>
          <w:bCs w:val="1"/>
          <w:color w:val="000000"/>
        </w:rPr>
      </w:pPr>
      <w:r w:rsidDel="00000000" w:rsidR="00000000" w:rsidRPr="00000000">
        <w:rPr>
          <w:b w:val="1"/>
          <w:bCs w:val="1"/>
          <w:color w:val="000000"/>
          <w:rtl w:val="0"/>
        </w:rPr>
        <w:t xml:space="preserve">Fuente:  </w:t>
      </w:r>
      <w:r w:rsidDel="00000000" w:rsidR="00000000" w:rsidRPr="00000000">
        <w:rPr>
          <w:color w:val="000000"/>
          <w:sz w:val="22"/>
          <w:szCs w:val="22"/>
          <w:rtl w:val="0"/>
        </w:rPr>
        <w:t xml:space="preserve">Elaboración propia a partir del DANE</w:t>
      </w:r>
      <w:r w:rsidDel="00000000" w:rsidR="00000000" w:rsidRPr="00000000">
        <w:rPr>
          <w:rtl w:val="0"/>
        </w:rPr>
      </w:r>
    </w:p>
    <w:p w:rsidR="00000000" w:rsidDel="00000000" w:rsidP="00000000" w:rsidRDefault="00000000" w:rsidRPr="00000000" w14:paraId="00000058">
      <w:pPr>
        <w:jc w:val="both"/>
        <w:rPr>
          <w:color w:val="000000"/>
        </w:rPr>
      </w:pPr>
      <w:r w:rsidDel="00000000" w:rsidR="00000000" w:rsidRPr="00000000">
        <w:rPr>
          <w:color w:val="000000"/>
          <w:rtl w:val="0"/>
        </w:rPr>
        <w:t xml:space="preserve">En el marco del PES anterior se identificó la operación estadística desarrollada por el Observatorio del Mercado de Empleo de Santander (OMEGS). No obstante, se evidenció que actualmente la Gobernación del Departamento de Santander no participa directamente en su desarrollo ni cuenta con mecanismos de articulación institucional para su ejecución. En consecuencia, para efectos del presente diagnóstico no se reconoce la existencia de operaciones estadísticas oficiales desarrolladas directamente por la entidad.</w:t>
      </w:r>
    </w:p>
    <w:p w:rsidR="00000000" w:rsidDel="00000000" w:rsidP="00000000" w:rsidRDefault="00000000" w:rsidRPr="00000000" w14:paraId="00000059">
      <w:pPr>
        <w:jc w:val="both"/>
        <w:rPr>
          <w:color w:val="000000"/>
        </w:rPr>
      </w:pPr>
      <w:r w:rsidDel="00000000" w:rsidR="00000000" w:rsidRPr="00000000">
        <w:rPr>
          <w:color w:val="000000"/>
          <w:rtl w:val="0"/>
        </w:rPr>
        <w:t xml:space="preserve">Aun así, se han identificado registros administrativos con potencial estadístico y necesidades de información que podrían derivar, en el desarrollo de operaciones estadísticas.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60" w:before="0" w:line="278.00000000000006" w:lineRule="auto"/>
        <w:ind w:left="709" w:right="0" w:firstLine="10.999999999999943"/>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Dimensión de Accesibilidad y uso de información estadística</w:t>
      </w:r>
    </w:p>
    <w:p w:rsidR="00000000" w:rsidDel="00000000" w:rsidP="00000000" w:rsidRDefault="00000000" w:rsidRPr="00000000" w14:paraId="0000005B">
      <w:pPr>
        <w:jc w:val="both"/>
        <w:rPr>
          <w:b w:val="1"/>
          <w:bCs w:val="1"/>
          <w:color w:val="000000"/>
        </w:rPr>
      </w:pPr>
      <w:r w:rsidDel="00000000" w:rsidR="00000000" w:rsidRPr="00000000">
        <w:rPr>
          <w:color w:val="000000"/>
          <w:rtl w:val="0"/>
        </w:rPr>
        <w:t xml:space="preserve">La dimensión Accesibilidad y uso de información estadística evalúa la capacidad de las entidades territoriales para facilitar el acceso a la información estadística y promover su uso por parte de los diferentes actores del ecosistema de datos. Está conformada por tres sub-dimensiones: Disponibilidad, Accesibilidad y Uso (DANE, 2025).</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60" w:before="0" w:line="278.00000000000006" w:lineRule="auto"/>
        <w:ind w:left="1728" w:right="0" w:hanging="648"/>
        <w:jc w:val="both"/>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Disponibilidad </w:t>
      </w:r>
    </w:p>
    <w:p w:rsidR="00000000" w:rsidDel="00000000" w:rsidP="00000000" w:rsidRDefault="00000000" w:rsidRPr="00000000" w14:paraId="0000005D">
      <w:pPr>
        <w:jc w:val="both"/>
        <w:rPr>
          <w:color w:val="000000"/>
        </w:rPr>
      </w:pPr>
      <w:r w:rsidDel="00000000" w:rsidR="00000000" w:rsidRPr="00000000">
        <w:rPr>
          <w:color w:val="000000"/>
          <w:rtl w:val="0"/>
        </w:rPr>
        <w:t xml:space="preserve">En la subdimensión Disponibilidad el departamento obtuvo un puntaje de 51 puntos en 2024. Los indicadores relacionados con </w:t>
      </w:r>
      <w:r w:rsidDel="00000000" w:rsidR="00000000" w:rsidRPr="00000000">
        <w:rPr>
          <w:i w:val="1"/>
          <w:iCs w:val="1"/>
          <w:color w:val="000000"/>
          <w:rtl w:val="0"/>
        </w:rPr>
        <w:t xml:space="preserve">Proporción de Indicadores con Hoja de Vida disponible</w:t>
      </w:r>
      <w:r w:rsidDel="00000000" w:rsidR="00000000" w:rsidRPr="00000000">
        <w:rPr>
          <w:color w:val="000000"/>
          <w:rtl w:val="0"/>
        </w:rPr>
        <w:t xml:space="preserve"> y </w:t>
      </w:r>
      <w:r w:rsidDel="00000000" w:rsidR="00000000" w:rsidRPr="00000000">
        <w:rPr>
          <w:i w:val="1"/>
          <w:iCs w:val="1"/>
          <w:color w:val="000000"/>
          <w:rtl w:val="0"/>
        </w:rPr>
        <w:t xml:space="preserve">Proporción de Indicadores de la Batería Disponibles en la Página Web</w:t>
      </w:r>
      <w:r w:rsidDel="00000000" w:rsidR="00000000" w:rsidRPr="00000000">
        <w:rPr>
          <w:color w:val="000000"/>
          <w:rtl w:val="0"/>
        </w:rPr>
        <w:t xml:space="preserve"> obtuvieron un puntaje de 68. Por su parte, lo relacionado con la </w:t>
      </w:r>
      <w:r w:rsidDel="00000000" w:rsidR="00000000" w:rsidRPr="00000000">
        <w:rPr>
          <w:i w:val="1"/>
          <w:iCs w:val="1"/>
          <w:color w:val="000000"/>
          <w:rtl w:val="0"/>
        </w:rPr>
        <w:t xml:space="preserve">Proporción de Indicadores con Series de Tiempo Accesible/Disponible Vía Web</w:t>
      </w:r>
      <w:r w:rsidDel="00000000" w:rsidR="00000000" w:rsidRPr="00000000">
        <w:rPr>
          <w:color w:val="000000"/>
          <w:rtl w:val="0"/>
        </w:rPr>
        <w:t xml:space="preserve"> y </w:t>
      </w:r>
      <w:r w:rsidDel="00000000" w:rsidR="00000000" w:rsidRPr="00000000">
        <w:rPr>
          <w:i w:val="1"/>
          <w:iCs w:val="1"/>
          <w:color w:val="000000"/>
          <w:rtl w:val="0"/>
        </w:rPr>
        <w:t xml:space="preserve">Medio de Visualización Utilizado para la Difusión de Indicadores de la Batería Base</w:t>
      </w:r>
      <w:r w:rsidDel="00000000" w:rsidR="00000000" w:rsidRPr="00000000">
        <w:rPr>
          <w:color w:val="000000"/>
          <w:rtl w:val="0"/>
        </w:rPr>
        <w:t xml:space="preserve"> tuvieron desempeños más bajos, con 44 y 25 puntos respectivamente, como se observa en la </w:t>
      </w:r>
      <w:r w:rsidDel="00000000" w:rsidR="00000000" w:rsidRPr="00000000">
        <w:rPr>
          <w:b w:val="1"/>
          <w:bCs w:val="1"/>
          <w:color w:val="000000"/>
          <w:rtl w:val="0"/>
        </w:rPr>
        <w:t xml:space="preserve">Gráfica 11</w:t>
      </w:r>
      <w:r w:rsidDel="00000000" w:rsidR="00000000" w:rsidRPr="00000000">
        <w:rPr>
          <w:color w:val="000000"/>
          <w:rtl w:val="0"/>
        </w:rPr>
        <w:t xml:space="preserve">. </w:t>
      </w:r>
    </w:p>
    <w:p w:rsidR="00000000" w:rsidDel="00000000" w:rsidP="00000000" w:rsidRDefault="00000000" w:rsidRPr="00000000" w14:paraId="0000005E">
      <w:pPr>
        <w:jc w:val="both"/>
        <w:rPr>
          <w:color w:val="000000"/>
        </w:rPr>
      </w:pPr>
      <w:r w:rsidDel="00000000" w:rsidR="00000000" w:rsidRPr="00000000">
        <w:rPr>
          <w:rtl w:val="0"/>
        </w:rPr>
      </w:r>
    </w:p>
    <w:p w:rsidR="00000000" w:rsidDel="00000000" w:rsidP="00000000" w:rsidRDefault="00000000" w:rsidRPr="00000000" w14:paraId="0000005F">
      <w:pPr>
        <w:jc w:val="both"/>
        <w:rPr>
          <w:color w:val="000000"/>
        </w:rPr>
      </w:pPr>
      <w:r w:rsidDel="00000000" w:rsidR="00000000" w:rsidRPr="00000000">
        <w:rPr>
          <w:rtl w:val="0"/>
        </w:rPr>
      </w:r>
    </w:p>
    <w:p w:rsidR="00000000" w:rsidDel="00000000" w:rsidP="00000000" w:rsidRDefault="00000000" w:rsidRPr="00000000" w14:paraId="00000060">
      <w:pPr>
        <w:jc w:val="both"/>
        <w:rPr>
          <w:color w:val="000000"/>
        </w:rPr>
      </w:pPr>
      <w:r w:rsidDel="00000000" w:rsidR="00000000" w:rsidRPr="00000000">
        <w:rPr>
          <w:rtl w:val="0"/>
        </w:rPr>
      </w:r>
    </w:p>
    <w:p w:rsidR="00000000" w:rsidDel="00000000" w:rsidP="00000000" w:rsidRDefault="00000000" w:rsidRPr="00000000" w14:paraId="00000061">
      <w:pPr>
        <w:jc w:val="both"/>
        <w:rPr>
          <w:color w:val="000000"/>
        </w:rPr>
      </w:pPr>
      <w:r w:rsidDel="00000000" w:rsidR="00000000" w:rsidRPr="00000000">
        <w:rPr>
          <w:rtl w:val="0"/>
        </w:rPr>
      </w:r>
    </w:p>
    <w:p w:rsidR="00000000" w:rsidDel="00000000" w:rsidP="00000000" w:rsidRDefault="00000000" w:rsidRPr="00000000" w14:paraId="00000062">
      <w:pPr>
        <w:jc w:val="both"/>
        <w:rPr>
          <w:color w:val="000000"/>
        </w:rPr>
      </w:pPr>
      <w:r w:rsidDel="00000000" w:rsidR="00000000" w:rsidRPr="00000000">
        <w:rPr>
          <w:rtl w:val="0"/>
        </w:rPr>
      </w:r>
    </w:p>
    <w:p w:rsidR="00000000" w:rsidDel="00000000" w:rsidP="00000000" w:rsidRDefault="00000000" w:rsidRPr="00000000" w14:paraId="00000063">
      <w:pPr>
        <w:jc w:val="both"/>
        <w:rPr>
          <w:color w:val="000000"/>
        </w:rPr>
      </w:pPr>
      <w:r w:rsidDel="00000000" w:rsidR="00000000" w:rsidRPr="00000000">
        <w:rPr>
          <w:rtl w:val="0"/>
        </w:rPr>
      </w:r>
    </w:p>
    <w:p w:rsidR="00000000" w:rsidDel="00000000" w:rsidP="00000000" w:rsidRDefault="00000000" w:rsidRPr="00000000" w14:paraId="00000064">
      <w:pPr>
        <w:jc w:val="center"/>
        <w:rPr>
          <w:color w:val="000000"/>
        </w:rPr>
      </w:pPr>
      <w:r w:rsidDel="00000000" w:rsidR="00000000" w:rsidRPr="00000000">
        <w:rPr>
          <w:b w:val="1"/>
          <w:bCs w:val="1"/>
          <w:color w:val="000000"/>
          <w:rtl w:val="0"/>
        </w:rPr>
        <w:t xml:space="preserve">Gráfica 11. </w:t>
      </w:r>
      <w:r w:rsidDel="00000000" w:rsidR="00000000" w:rsidRPr="00000000">
        <w:rPr>
          <w:color w:val="000000"/>
          <w:rtl w:val="0"/>
        </w:rPr>
        <w:t xml:space="preserve">Resultado de la Subdimensión Disponibilidad, 2024 </w:t>
      </w:r>
    </w:p>
    <w:p w:rsidR="00000000" w:rsidDel="00000000" w:rsidP="00000000" w:rsidRDefault="00000000" w:rsidRPr="00000000" w14:paraId="00000065">
      <w:pPr>
        <w:jc w:val="center"/>
        <w:rPr>
          <w:color w:val="000000"/>
        </w:rPr>
      </w:pPr>
      <w:r w:rsidDel="00000000" w:rsidR="00000000" w:rsidRPr="00000000">
        <w:rPr>
          <w:color w:val="000000"/>
        </w:rPr>
        <w:drawing>
          <wp:inline distB="0" distT="0" distL="0" distR="0">
            <wp:extent cx="5318760" cy="2876550"/>
            <wp:effectExtent b="0" l="0" r="0" t="0"/>
            <wp:docPr id="11" name="image11.png"/>
            <a:graphic>
              <a:graphicData uri="http://schemas.openxmlformats.org/drawingml/2006/picture">
                <pic:pic>
                  <pic:nvPicPr>
                    <pic:cNvPr id="0" name="image11.png"/>
                    <pic:cNvPicPr preferRelativeResize="0"/>
                  </pic:nvPicPr>
                  <pic:blipFill>
                    <a:blip r:embed="rId19"/>
                    <a:srcRect b="0" l="0" r="0" t="0"/>
                    <a:stretch>
                      <a:fillRect/>
                    </a:stretch>
                  </pic:blipFill>
                  <pic:spPr>
                    <a:xfrm>
                      <a:off x="0" y="0"/>
                      <a:ext cx="5318760" cy="2876550"/>
                    </a:xfrm>
                    <a:prstGeom prst="rect"/>
                    <a:ln/>
                  </pic:spPr>
                </pic:pic>
              </a:graphicData>
            </a:graphic>
          </wp:inline>
        </w:drawing>
      </w:r>
      <w:r w:rsidDel="00000000" w:rsidR="00000000" w:rsidRPr="00000000">
        <w:rPr>
          <w:rtl w:val="0"/>
        </w:rPr>
      </w:r>
    </w:p>
    <w:p w:rsidR="00000000" w:rsidDel="00000000" w:rsidP="00000000" w:rsidRDefault="00000000" w:rsidRPr="00000000" w14:paraId="00000066">
      <w:pPr>
        <w:jc w:val="center"/>
        <w:rPr>
          <w:b w:val="1"/>
          <w:bCs w:val="1"/>
          <w:color w:val="000000"/>
          <w:sz w:val="22"/>
          <w:szCs w:val="22"/>
        </w:rPr>
      </w:pPr>
      <w:r w:rsidDel="00000000" w:rsidR="00000000" w:rsidRPr="00000000">
        <w:rPr>
          <w:b w:val="1"/>
          <w:bCs w:val="1"/>
          <w:color w:val="000000"/>
          <w:sz w:val="22"/>
          <w:szCs w:val="22"/>
          <w:rtl w:val="0"/>
        </w:rPr>
        <w:t xml:space="preserve">Fuente: </w:t>
      </w:r>
      <w:r w:rsidDel="00000000" w:rsidR="00000000" w:rsidRPr="00000000">
        <w:rPr>
          <w:color w:val="000000"/>
          <w:sz w:val="22"/>
          <w:szCs w:val="22"/>
          <w:rtl w:val="0"/>
        </w:rPr>
        <w:t xml:space="preserve">Elaboración propia a partir del DANE</w:t>
      </w:r>
      <w:r w:rsidDel="00000000" w:rsidR="00000000" w:rsidRPr="00000000">
        <w:rPr>
          <w:rtl w:val="0"/>
        </w:rPr>
      </w:r>
    </w:p>
    <w:p w:rsidR="00000000" w:rsidDel="00000000" w:rsidP="00000000" w:rsidRDefault="00000000" w:rsidRPr="00000000" w14:paraId="00000067">
      <w:pPr>
        <w:jc w:val="both"/>
        <w:rPr>
          <w:color w:val="000000"/>
        </w:rPr>
      </w:pPr>
      <w:r w:rsidDel="00000000" w:rsidR="00000000" w:rsidRPr="00000000">
        <w:rPr>
          <w:color w:val="000000"/>
          <w:rtl w:val="0"/>
        </w:rPr>
        <w:t xml:space="preserve">Estos resultados evidencian debilidades en la publicación, actualización y documentación de la información estadística disponible para consulta ciudadana, son embargo, la Gobernación del Departamento de Santander ha venido adelantando acciones orientadas al fortalecimiento de la disponibilidad y difusión de información estadística institucional. Desde la vigencia 2025 se ha trabajado en la publicación de información asociada a la Línea Base de Indicadores (LBI), mediante la consolidación y difusión de indicadores disponibles en la página web institucional, organizados por sectores KPT.  </w:t>
      </w:r>
    </w:p>
    <w:p w:rsidR="00000000" w:rsidDel="00000000" w:rsidP="00000000" w:rsidRDefault="00000000" w:rsidRPr="00000000" w14:paraId="00000068">
      <w:pPr>
        <w:jc w:val="both"/>
        <w:rPr>
          <w:color w:val="000000"/>
        </w:rPr>
      </w:pPr>
      <w:r w:rsidDel="00000000" w:rsidR="00000000" w:rsidRPr="00000000">
        <w:rPr>
          <w:color w:val="000000"/>
          <w:rtl w:val="0"/>
        </w:rPr>
        <w:t xml:space="preserve">De igual manera, durante la vigencia 2026 se adelanta el proceso de actualización de la información estadística publicada, de acuerdo con la disponibilidad de datos provenientes de fuentes primarias y de entidades productoras de información estadística del orden nacional con cobertura para el Departamento de Santander.</w:t>
      </w:r>
    </w:p>
    <w:p w:rsidR="00000000" w:rsidDel="00000000" w:rsidP="00000000" w:rsidRDefault="00000000" w:rsidRPr="00000000" w14:paraId="00000069">
      <w:pPr>
        <w:jc w:val="both"/>
        <w:rPr>
          <w:color w:val="000000"/>
        </w:rPr>
      </w:pPr>
      <w:r w:rsidDel="00000000" w:rsidR="00000000" w:rsidRPr="00000000">
        <w:rPr>
          <w:color w:val="000000"/>
          <w:rtl w:val="0"/>
        </w:rPr>
        <w:t xml:space="preserve">Respecto a los medios de visualización utilizados para la difusión de información estadística, la entidad ha fortalecido el uso de la sede electrónica de la Gobernación y herramientas de analítica y visualización de datos como Power BI, mediante la implementación de tableros interactivos para la consulta de indicadores estratégicos. Asimismo, se han realizado publicaciones de información e indicadores relevantes a través de los canales institucionales y redes sociales de la institución.  </w:t>
      </w:r>
    </w:p>
    <w:p w:rsidR="00000000" w:rsidDel="00000000" w:rsidP="00000000" w:rsidRDefault="00000000" w:rsidRPr="00000000" w14:paraId="0000006A">
      <w:pPr>
        <w:jc w:val="both"/>
        <w:rPr>
          <w:color w:val="000000"/>
        </w:rPr>
      </w:pPr>
      <w:r w:rsidDel="00000000" w:rsidR="00000000" w:rsidRPr="00000000">
        <w:rPr>
          <w:color w:val="000000"/>
          <w:rtl w:val="0"/>
        </w:rPr>
        <w:t xml:space="preserve">Adicionalmente, los indicadores publicados en los tableros de visualización cuentan progresivamente con sus respectivas fichas técnicas, así como con la incorporación de información histórica, de acuerdo con la disponibilidad de información estadística identificada para cada indicador. </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60" w:before="0" w:line="278.00000000000006" w:lineRule="auto"/>
        <w:ind w:left="1728" w:right="0" w:hanging="648"/>
        <w:jc w:val="both"/>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Accesibilidad  </w:t>
      </w:r>
    </w:p>
    <w:p w:rsidR="00000000" w:rsidDel="00000000" w:rsidP="00000000" w:rsidRDefault="00000000" w:rsidRPr="00000000" w14:paraId="0000006C">
      <w:pPr>
        <w:jc w:val="both"/>
        <w:rPr>
          <w:color w:val="000000"/>
        </w:rPr>
      </w:pPr>
      <w:r w:rsidDel="00000000" w:rsidR="00000000" w:rsidRPr="00000000">
        <w:rPr>
          <w:color w:val="000000"/>
          <w:rtl w:val="0"/>
        </w:rPr>
        <w:t xml:space="preserve">La subdimensión Accesibilidad presentó un puntaje de 48 puntos. El mejor desempeño se observa en los indicadores relacionados con </w:t>
      </w:r>
      <w:r w:rsidDel="00000000" w:rsidR="00000000" w:rsidRPr="00000000">
        <w:rPr>
          <w:i w:val="1"/>
          <w:iCs w:val="1"/>
          <w:color w:val="000000"/>
          <w:rtl w:val="0"/>
        </w:rPr>
        <w:t xml:space="preserve">Información Publicada a los Grupos de Valor de la Entidad Territorial en los Procesos de Rendición</w:t>
      </w:r>
      <w:r w:rsidDel="00000000" w:rsidR="00000000" w:rsidRPr="00000000">
        <w:rPr>
          <w:color w:val="000000"/>
          <w:rtl w:val="0"/>
        </w:rPr>
        <w:t xml:space="preserve"> y </w:t>
      </w:r>
      <w:r w:rsidDel="00000000" w:rsidR="00000000" w:rsidRPr="00000000">
        <w:rPr>
          <w:i w:val="1"/>
          <w:iCs w:val="1"/>
          <w:color w:val="000000"/>
          <w:rtl w:val="0"/>
        </w:rPr>
        <w:t xml:space="preserve">Empoderamiento de los Ciudadanos Mediante un Estado Abierto, </w:t>
      </w:r>
      <w:r w:rsidDel="00000000" w:rsidR="00000000" w:rsidRPr="00000000">
        <w:rPr>
          <w:color w:val="000000"/>
          <w:rtl w:val="0"/>
        </w:rPr>
        <w:t xml:space="preserve">con puntajes de 100 y 93 puntos respectivamente. </w:t>
      </w:r>
    </w:p>
    <w:p w:rsidR="00000000" w:rsidDel="00000000" w:rsidP="00000000" w:rsidRDefault="00000000" w:rsidRPr="00000000" w14:paraId="0000006D">
      <w:pPr>
        <w:jc w:val="both"/>
        <w:rPr>
          <w:color w:val="000000"/>
        </w:rPr>
      </w:pPr>
      <w:r w:rsidDel="00000000" w:rsidR="00000000" w:rsidRPr="00000000">
        <w:rPr>
          <w:color w:val="000000"/>
          <w:rtl w:val="0"/>
        </w:rPr>
        <w:t xml:space="preserve">No obstante, se evidencian desempeños muy bajos en múltiples indicadores como  </w:t>
      </w:r>
      <w:r w:rsidDel="00000000" w:rsidR="00000000" w:rsidRPr="00000000">
        <w:rPr>
          <w:i w:val="1"/>
          <w:iCs w:val="1"/>
          <w:color w:val="000000"/>
          <w:rtl w:val="0"/>
        </w:rPr>
        <w:t xml:space="preserve">Satisfacción de Usuarios Respecto a la Información Disponible, </w:t>
      </w:r>
      <w:r w:rsidDel="00000000" w:rsidR="00000000" w:rsidRPr="00000000">
        <w:rPr>
          <w:color w:val="000000"/>
          <w:rtl w:val="0"/>
        </w:rPr>
        <w:t xml:space="preserve"> </w:t>
      </w:r>
      <w:r w:rsidDel="00000000" w:rsidR="00000000" w:rsidRPr="00000000">
        <w:rPr>
          <w:i w:val="1"/>
          <w:iCs w:val="1"/>
          <w:color w:val="000000"/>
          <w:rtl w:val="0"/>
        </w:rPr>
        <w:t xml:space="preserve">Mecanismos Tecnológicos Utilizados para la Difusión, </w:t>
      </w:r>
      <w:r w:rsidDel="00000000" w:rsidR="00000000" w:rsidRPr="00000000">
        <w:rPr>
          <w:color w:val="000000"/>
          <w:rtl w:val="0"/>
        </w:rPr>
        <w:t xml:space="preserve">ambos con 0 puntos y</w:t>
      </w:r>
      <w:r w:rsidDel="00000000" w:rsidR="00000000" w:rsidRPr="00000000">
        <w:rPr>
          <w:i w:val="1"/>
          <w:iCs w:val="1"/>
          <w:color w:val="000000"/>
          <w:rtl w:val="0"/>
        </w:rPr>
        <w:t xml:space="preserve"> Tipo de Información Asociada a Indicadores (metadatos) y Operaciones Estadísticas Difundida a través Página Web para los Grupos de Interés de la Entidad Territorial </w:t>
      </w:r>
      <w:r w:rsidDel="00000000" w:rsidR="00000000" w:rsidRPr="00000000">
        <w:rPr>
          <w:color w:val="000000"/>
          <w:rtl w:val="0"/>
        </w:rPr>
        <w:t xml:space="preserve">con 8 puntos, como se observa en la </w:t>
      </w:r>
      <w:r w:rsidDel="00000000" w:rsidR="00000000" w:rsidRPr="00000000">
        <w:rPr>
          <w:b w:val="1"/>
          <w:bCs w:val="1"/>
          <w:color w:val="000000"/>
          <w:rtl w:val="0"/>
        </w:rPr>
        <w:t xml:space="preserve">Gráfica 12</w:t>
      </w:r>
      <w:r w:rsidDel="00000000" w:rsidR="00000000" w:rsidRPr="00000000">
        <w:rPr>
          <w:rtl w:val="0"/>
        </w:rPr>
      </w:r>
    </w:p>
    <w:p w:rsidR="00000000" w:rsidDel="00000000" w:rsidP="00000000" w:rsidRDefault="00000000" w:rsidRPr="00000000" w14:paraId="0000006E">
      <w:pPr>
        <w:jc w:val="center"/>
        <w:rPr>
          <w:b w:val="1"/>
          <w:bCs w:val="1"/>
          <w:color w:val="000000"/>
        </w:rPr>
      </w:pPr>
      <w:r w:rsidDel="00000000" w:rsidR="00000000" w:rsidRPr="00000000">
        <w:rPr>
          <w:b w:val="1"/>
          <w:bCs w:val="1"/>
          <w:color w:val="000000"/>
          <w:rtl w:val="0"/>
        </w:rPr>
        <w:t xml:space="preserve">Gráfica 12. </w:t>
      </w:r>
      <w:r w:rsidDel="00000000" w:rsidR="00000000" w:rsidRPr="00000000">
        <w:rPr>
          <w:color w:val="000000"/>
          <w:rtl w:val="0"/>
        </w:rPr>
        <w:t xml:space="preserve">Resultado de la Subdimensión Accesibilidad, 2024</w:t>
      </w:r>
      <w:r w:rsidDel="00000000" w:rsidR="00000000" w:rsidRPr="00000000">
        <w:rPr>
          <w:rtl w:val="0"/>
        </w:rPr>
      </w:r>
    </w:p>
    <w:p w:rsidR="00000000" w:rsidDel="00000000" w:rsidP="00000000" w:rsidRDefault="00000000" w:rsidRPr="00000000" w14:paraId="0000006F">
      <w:pPr>
        <w:jc w:val="center"/>
        <w:rPr>
          <w:b w:val="1"/>
          <w:bCs w:val="1"/>
          <w:color w:val="000000"/>
        </w:rPr>
      </w:pPr>
      <w:r w:rsidDel="00000000" w:rsidR="00000000" w:rsidRPr="00000000">
        <w:rPr>
          <w:color w:val="000000"/>
        </w:rPr>
        <w:drawing>
          <wp:inline distB="0" distT="0" distL="0" distR="0">
            <wp:extent cx="5429439" cy="3562950"/>
            <wp:effectExtent b="0" l="0" r="0" t="0"/>
            <wp:docPr id="12" name="image4.png"/>
            <a:graphic>
              <a:graphicData uri="http://schemas.openxmlformats.org/drawingml/2006/picture">
                <pic:pic>
                  <pic:nvPicPr>
                    <pic:cNvPr id="0" name="image4.png"/>
                    <pic:cNvPicPr preferRelativeResize="0"/>
                  </pic:nvPicPr>
                  <pic:blipFill>
                    <a:blip r:embed="rId20"/>
                    <a:srcRect b="0" l="0" r="0" t="0"/>
                    <a:stretch>
                      <a:fillRect/>
                    </a:stretch>
                  </pic:blipFill>
                  <pic:spPr>
                    <a:xfrm>
                      <a:off x="0" y="0"/>
                      <a:ext cx="5429439" cy="3562950"/>
                    </a:xfrm>
                    <a:prstGeom prst="rect"/>
                    <a:ln/>
                  </pic:spPr>
                </pic:pic>
              </a:graphicData>
            </a:graphic>
          </wp:inline>
        </w:drawing>
      </w:r>
      <w:r w:rsidDel="00000000" w:rsidR="00000000" w:rsidRPr="00000000">
        <w:rPr>
          <w:rtl w:val="0"/>
        </w:rPr>
      </w:r>
    </w:p>
    <w:p w:rsidR="00000000" w:rsidDel="00000000" w:rsidP="00000000" w:rsidRDefault="00000000" w:rsidRPr="00000000" w14:paraId="00000070">
      <w:pPr>
        <w:jc w:val="center"/>
        <w:rPr>
          <w:b w:val="1"/>
          <w:bCs w:val="1"/>
          <w:color w:val="000000"/>
        </w:rPr>
      </w:pPr>
      <w:r w:rsidDel="00000000" w:rsidR="00000000" w:rsidRPr="00000000">
        <w:rPr>
          <w:b w:val="1"/>
          <w:bCs w:val="1"/>
          <w:color w:val="000000"/>
          <w:rtl w:val="0"/>
        </w:rPr>
        <w:t xml:space="preserve">Fuente: </w:t>
      </w:r>
      <w:r w:rsidDel="00000000" w:rsidR="00000000" w:rsidRPr="00000000">
        <w:rPr>
          <w:color w:val="000000"/>
          <w:sz w:val="22"/>
          <w:szCs w:val="22"/>
          <w:rtl w:val="0"/>
        </w:rPr>
        <w:t xml:space="preserve">Elaboración propia a partir del DANE</w:t>
      </w:r>
      <w:r w:rsidDel="00000000" w:rsidR="00000000" w:rsidRPr="00000000">
        <w:rPr>
          <w:rtl w:val="0"/>
        </w:rPr>
      </w:r>
    </w:p>
    <w:p w:rsidR="00000000" w:rsidDel="00000000" w:rsidP="00000000" w:rsidRDefault="00000000" w:rsidRPr="00000000" w14:paraId="00000071">
      <w:pPr>
        <w:jc w:val="both"/>
        <w:rPr>
          <w:color w:val="000000"/>
        </w:rPr>
      </w:pPr>
      <w:r w:rsidDel="00000000" w:rsidR="00000000" w:rsidRPr="00000000">
        <w:rPr>
          <w:color w:val="000000"/>
          <w:rtl w:val="0"/>
        </w:rPr>
        <w:t xml:space="preserve">Estos resultados evidencian avances en la publicación de información institucional y en las estrategias de rendición de cuentas y empoderamiento ciudadano. No obstante, persisten oportunidades de mejora en aspectos relacionados con la accesibilidad, difusión y apropiación de la información estadística institucional, especialmente en los mecanismos tecnológicos utilizados para su difusión, la medición de la satisfacción de los usuarios y la publicación de metadatos e información estadística a través de la página web institucional.</w:t>
      </w:r>
    </w:p>
    <w:p w:rsidR="00000000" w:rsidDel="00000000" w:rsidP="00000000" w:rsidRDefault="00000000" w:rsidRPr="00000000" w14:paraId="00000072">
      <w:pPr>
        <w:jc w:val="both"/>
        <w:rPr>
          <w:color w:val="000000"/>
        </w:rPr>
      </w:pPr>
      <w:r w:rsidDel="00000000" w:rsidR="00000000" w:rsidRPr="00000000">
        <w:rPr>
          <w:color w:val="000000"/>
          <w:rtl w:val="0"/>
        </w:rPr>
        <w:t xml:space="preserve">En este sentido, la Gobernación del Departamento de Santander reconoce la necesidad de fortalecer las estrategias de divulgación, consulta y evaluación de la información estadística, promoviendo una mayor participación de los usuarios y mejorando los mecanismos de acceso y retroalimentación.</w:t>
      </w:r>
    </w:p>
    <w:p w:rsidR="00000000" w:rsidDel="00000000" w:rsidP="00000000" w:rsidRDefault="00000000" w:rsidRPr="00000000" w14:paraId="0000007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60" w:before="0" w:line="278.00000000000006" w:lineRule="auto"/>
        <w:ind w:left="1728" w:right="0" w:hanging="648"/>
        <w:jc w:val="both"/>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Uso </w:t>
      </w:r>
    </w:p>
    <w:p w:rsidR="00000000" w:rsidDel="00000000" w:rsidP="00000000" w:rsidRDefault="00000000" w:rsidRPr="00000000" w14:paraId="00000074">
      <w:pPr>
        <w:jc w:val="both"/>
        <w:rPr>
          <w:color w:val="000000"/>
        </w:rPr>
      </w:pPr>
      <w:r w:rsidDel="00000000" w:rsidR="00000000" w:rsidRPr="00000000">
        <w:rPr>
          <w:color w:val="000000"/>
          <w:rtl w:val="0"/>
        </w:rPr>
        <w:t xml:space="preserve">En la subdimensión Uso el departamento obtuvo un puntaje </w:t>
      </w:r>
      <w:r w:rsidDel="00000000" w:rsidR="00000000" w:rsidRPr="00000000">
        <w:rPr>
          <w:color w:val="000000"/>
          <w:rtl w:val="0"/>
        </w:rPr>
        <w:t xml:space="preserve">de 15 puntos</w:t>
      </w:r>
      <w:r w:rsidDel="00000000" w:rsidR="00000000" w:rsidRPr="00000000">
        <w:rPr>
          <w:color w:val="000000"/>
          <w:rtl w:val="0"/>
        </w:rPr>
        <w:t xml:space="preserve">, reflejando un bajo aprovechamiento de la información estadística para procesos de diagnóstico, seguimiento y evaluación.</w:t>
      </w:r>
    </w:p>
    <w:p w:rsidR="00000000" w:rsidDel="00000000" w:rsidP="00000000" w:rsidRDefault="00000000" w:rsidRPr="00000000" w14:paraId="00000075">
      <w:pPr>
        <w:jc w:val="both"/>
        <w:rPr>
          <w:b w:val="1"/>
          <w:bCs w:val="1"/>
          <w:color w:val="000000"/>
        </w:rPr>
      </w:pPr>
      <w:r w:rsidDel="00000000" w:rsidR="00000000" w:rsidRPr="00000000">
        <w:rPr>
          <w:color w:val="000000"/>
          <w:rtl w:val="0"/>
        </w:rPr>
        <w:t xml:space="preserve">El indicador relacionado con la </w:t>
      </w:r>
      <w:r w:rsidDel="00000000" w:rsidR="00000000" w:rsidRPr="00000000">
        <w:rPr>
          <w:i w:val="1"/>
          <w:iCs w:val="1"/>
          <w:color w:val="000000"/>
          <w:rtl w:val="0"/>
        </w:rPr>
        <w:t xml:space="preserve">Proporción de Indicadores de la Batería Básica Usados en el Plan de Desarrollo Territorial</w:t>
      </w:r>
      <w:r w:rsidDel="00000000" w:rsidR="00000000" w:rsidRPr="00000000">
        <w:rPr>
          <w:color w:val="000000"/>
          <w:rtl w:val="0"/>
        </w:rPr>
        <w:t xml:space="preserve"> </w:t>
      </w:r>
      <w:r w:rsidDel="00000000" w:rsidR="00000000" w:rsidRPr="00000000">
        <w:rPr>
          <w:color w:val="000000"/>
          <w:rtl w:val="0"/>
        </w:rPr>
        <w:t xml:space="preserve">obtuvo 24 puntos, sin embargo, los Indicadores Asociados a su Utilización en R</w:t>
      </w:r>
      <w:r w:rsidDel="00000000" w:rsidR="00000000" w:rsidRPr="00000000">
        <w:rPr>
          <w:color w:val="000000"/>
          <w:rtl w:val="0"/>
        </w:rPr>
        <w:t xml:space="preserve">endición de Cuentas e Informes de Gestión</w:t>
      </w:r>
      <w:r w:rsidDel="00000000" w:rsidR="00000000" w:rsidRPr="00000000">
        <w:rPr>
          <w:color w:val="000000"/>
          <w:rtl w:val="0"/>
        </w:rPr>
        <w:t xml:space="preserve">, así como </w:t>
      </w:r>
      <w:r w:rsidDel="00000000" w:rsidR="00000000" w:rsidRPr="00000000">
        <w:rPr>
          <w:i w:val="1"/>
          <w:iCs w:val="1"/>
          <w:color w:val="000000"/>
          <w:rtl w:val="0"/>
        </w:rPr>
        <w:t xml:space="preserve">el Promedio de Uso de los Indicadores de la Batería Base por Entidades Usuarias</w:t>
      </w:r>
      <w:r w:rsidDel="00000000" w:rsidR="00000000" w:rsidRPr="00000000">
        <w:rPr>
          <w:color w:val="000000"/>
          <w:rtl w:val="0"/>
        </w:rPr>
        <w:t xml:space="preserve">, presentaron resultados de 10 y 13 puntos respectivamente (</w:t>
      </w:r>
      <w:r w:rsidDel="00000000" w:rsidR="00000000" w:rsidRPr="00000000">
        <w:rPr>
          <w:b w:val="1"/>
          <w:bCs w:val="1"/>
          <w:color w:val="000000"/>
          <w:rtl w:val="0"/>
        </w:rPr>
        <w:t xml:space="preserve">Ver Gráfica 13</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76">
      <w:pPr>
        <w:jc w:val="center"/>
        <w:rPr>
          <w:color w:val="000000"/>
        </w:rPr>
      </w:pPr>
      <w:r w:rsidDel="00000000" w:rsidR="00000000" w:rsidRPr="00000000">
        <w:rPr>
          <w:b w:val="1"/>
          <w:bCs w:val="1"/>
          <w:color w:val="000000"/>
          <w:rtl w:val="0"/>
        </w:rPr>
        <w:t xml:space="preserve">Gráfica 13. </w:t>
      </w:r>
      <w:r w:rsidDel="00000000" w:rsidR="00000000" w:rsidRPr="00000000">
        <w:rPr>
          <w:color w:val="000000"/>
          <w:rtl w:val="0"/>
        </w:rPr>
        <w:t xml:space="preserve">Resultado de la Subdimensión</w:t>
      </w:r>
      <w:r w:rsidDel="00000000" w:rsidR="00000000" w:rsidRPr="00000000">
        <w:rPr>
          <w:b w:val="1"/>
          <w:bCs w:val="1"/>
          <w:color w:val="000000"/>
          <w:rtl w:val="0"/>
        </w:rPr>
        <w:t xml:space="preserve"> </w:t>
      </w:r>
      <w:r w:rsidDel="00000000" w:rsidR="00000000" w:rsidRPr="00000000">
        <w:rPr>
          <w:color w:val="000000"/>
          <w:rtl w:val="0"/>
        </w:rPr>
        <w:t xml:space="preserve">Uso, 2024</w:t>
      </w:r>
    </w:p>
    <w:p w:rsidR="00000000" w:rsidDel="00000000" w:rsidP="00000000" w:rsidRDefault="00000000" w:rsidRPr="00000000" w14:paraId="00000077">
      <w:pPr>
        <w:jc w:val="center"/>
        <w:rPr>
          <w:color w:val="000000"/>
        </w:rPr>
      </w:pPr>
      <w:r w:rsidDel="00000000" w:rsidR="00000000" w:rsidRPr="00000000">
        <w:rPr>
          <w:color w:val="000000"/>
        </w:rPr>
        <w:drawing>
          <wp:inline distB="0" distT="0" distL="0" distR="0">
            <wp:extent cx="5257800" cy="2686050"/>
            <wp:effectExtent b="0" l="0" r="0" t="0"/>
            <wp:docPr id="14" name="image9.png"/>
            <a:graphic>
              <a:graphicData uri="http://schemas.openxmlformats.org/drawingml/2006/picture">
                <pic:pic>
                  <pic:nvPicPr>
                    <pic:cNvPr id="0" name="image9.png"/>
                    <pic:cNvPicPr preferRelativeResize="0"/>
                  </pic:nvPicPr>
                  <pic:blipFill>
                    <a:blip r:embed="rId21"/>
                    <a:srcRect b="0" l="0" r="0" t="0"/>
                    <a:stretch>
                      <a:fillRect/>
                    </a:stretch>
                  </pic:blipFill>
                  <pic:spPr>
                    <a:xfrm>
                      <a:off x="0" y="0"/>
                      <a:ext cx="5257800" cy="2686050"/>
                    </a:xfrm>
                    <a:prstGeom prst="rect"/>
                    <a:ln/>
                  </pic:spPr>
                </pic:pic>
              </a:graphicData>
            </a:graphic>
          </wp:inline>
        </w:drawing>
      </w:r>
      <w:r w:rsidDel="00000000" w:rsidR="00000000" w:rsidRPr="00000000">
        <w:rPr>
          <w:rtl w:val="0"/>
        </w:rPr>
      </w:r>
    </w:p>
    <w:p w:rsidR="00000000" w:rsidDel="00000000" w:rsidP="00000000" w:rsidRDefault="00000000" w:rsidRPr="00000000" w14:paraId="00000078">
      <w:pPr>
        <w:tabs>
          <w:tab w:val="left" w:leader="none" w:pos="3733"/>
        </w:tabs>
        <w:jc w:val="center"/>
        <w:rPr>
          <w:b w:val="1"/>
          <w:bCs w:val="1"/>
          <w:color w:val="000000"/>
        </w:rPr>
      </w:pPr>
      <w:r w:rsidDel="00000000" w:rsidR="00000000" w:rsidRPr="00000000">
        <w:rPr>
          <w:b w:val="1"/>
          <w:bCs w:val="1"/>
          <w:color w:val="000000"/>
          <w:rtl w:val="0"/>
        </w:rPr>
        <w:t xml:space="preserve">Fuente: </w:t>
      </w:r>
      <w:r w:rsidDel="00000000" w:rsidR="00000000" w:rsidRPr="00000000">
        <w:rPr>
          <w:color w:val="000000"/>
          <w:sz w:val="22"/>
          <w:szCs w:val="22"/>
          <w:rtl w:val="0"/>
        </w:rPr>
        <w:t xml:space="preserve">Elaboración propia a partir del DANE</w:t>
      </w:r>
      <w:r w:rsidDel="00000000" w:rsidR="00000000" w:rsidRPr="00000000">
        <w:rPr>
          <w:rtl w:val="0"/>
        </w:rPr>
      </w:r>
    </w:p>
    <w:p w:rsidR="00000000" w:rsidDel="00000000" w:rsidP="00000000" w:rsidRDefault="00000000" w:rsidRPr="00000000" w14:paraId="00000079">
      <w:pPr>
        <w:tabs>
          <w:tab w:val="left" w:leader="none" w:pos="3733"/>
        </w:tabs>
        <w:jc w:val="both"/>
        <w:rPr>
          <w:color w:val="000000"/>
        </w:rPr>
      </w:pPr>
      <w:r w:rsidDel="00000000" w:rsidR="00000000" w:rsidRPr="00000000">
        <w:rPr>
          <w:color w:val="000000"/>
          <w:rtl w:val="0"/>
        </w:rPr>
        <w:t xml:space="preserve">Estos resultados evidencian debilidades en la incorporación estratégica de los indicadores dentro de los procesos de planeación, seguimiento y evaluación institucional. Asimismo, reflejan oportunidades de mejora en la articulación entre los indicadores utilizados y la cadena de valor del Plan Departamental de Desarrollo, así como en el fortalecimiento de la cultura institucional orientada al uso y aprovechamiento de información estadística para la toma de decisiones.</w:t>
      </w:r>
    </w:p>
    <w:p w:rsidR="00000000" w:rsidDel="00000000" w:rsidP="00000000" w:rsidRDefault="00000000" w:rsidRPr="00000000" w14:paraId="0000007A">
      <w:pPr>
        <w:tabs>
          <w:tab w:val="left" w:leader="none" w:pos="3733"/>
        </w:tabs>
        <w:jc w:val="both"/>
        <w:rPr>
          <w:color w:val="000000"/>
        </w:rPr>
      </w:pPr>
      <w:r w:rsidDel="00000000" w:rsidR="00000000" w:rsidRPr="00000000">
        <w:rPr>
          <w:color w:val="000000"/>
          <w:rtl w:val="0"/>
        </w:rPr>
        <w:t xml:space="preserve">No obstante, durante el actual periodo de gobierno se ha avanzado en el fortalecimiento de la cultura institucional orientada al uso y aprovechamiento de información estadística para los procesos de planeación y seguimiento. En este sentido, se han adelantado acciones para la consolidación e identificación de indicadores institucionales, líneas base e indicadores asociados a los Objetivos de Desarrollo Sostenible (ODS), así como indicadores de resultado y producto de planes, políticas y estrategias institucionales, con el propósito de fortalecer la disponibilidad y utilización de información para la toma de decisiones.</w:t>
      </w:r>
    </w:p>
    <w:p w:rsidR="00000000" w:rsidDel="00000000" w:rsidP="00000000" w:rsidRDefault="00000000" w:rsidRPr="00000000" w14:paraId="0000007B">
      <w:pPr>
        <w:tabs>
          <w:tab w:val="left" w:leader="none" w:pos="3733"/>
        </w:tabs>
        <w:jc w:val="both"/>
        <w:rPr>
          <w:color w:val="000000"/>
        </w:rPr>
      </w:pPr>
      <w:r w:rsidDel="00000000" w:rsidR="00000000" w:rsidRPr="00000000">
        <w:rPr>
          <w:color w:val="000000"/>
          <w:rtl w:val="0"/>
        </w:rPr>
        <w:t xml:space="preserve">Asimismo, con el acompañamiento técnico y metodológico del DANE, se ha avanzado en la documentación y difusión de indicadores mediante fichas técnicas, tableros de visualización y herramientas de analítica de datos. Esta información ha servido como insumo para ejercicios de seguimiento al Plan Departamental de Desarrollo (PDD) y monitoreo de políticas públicas, de acuerdo con la disponibilidad de información institucional.</w:t>
      </w:r>
    </w:p>
    <w:p w:rsidR="00000000" w:rsidDel="00000000" w:rsidP="00000000" w:rsidRDefault="00000000" w:rsidRPr="00000000" w14:paraId="0000007C">
      <w:pPr>
        <w:tabs>
          <w:tab w:val="left" w:leader="none" w:pos="3733"/>
        </w:tabs>
        <w:jc w:val="both"/>
        <w:rPr>
          <w:color w:val="000000"/>
        </w:rPr>
      </w:pPr>
      <w:r w:rsidDel="00000000" w:rsidR="00000000" w:rsidRPr="00000000">
        <w:rPr>
          <w:color w:val="000000"/>
          <w:rtl w:val="0"/>
        </w:rPr>
        <w:t xml:space="preserve">No obstante, se reconoce la necesidad de continuar fortaleciendo la incorporación estratégica de indicadores en los procesos de planeación institucional, promoviendo que los ejercicios de formulación de planes, programas y proyectos se estructuren a partir del análisis de indicadores de resultado y de las necesidades de información identificadas para el departamento.</w:t>
      </w:r>
    </w:p>
    <w:p w:rsidR="00000000" w:rsidDel="00000000" w:rsidP="00000000" w:rsidRDefault="00000000" w:rsidRPr="00000000" w14:paraId="0000007D">
      <w:pPr>
        <w:tabs>
          <w:tab w:val="left" w:leader="none" w:pos="3733"/>
        </w:tabs>
        <w:rPr>
          <w:b w:val="1"/>
          <w:bCs w:val="1"/>
          <w:color w:val="000000"/>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ptos" w:cs="Aptos" w:eastAsia="Aptos" w:hAnsi="Aptos"/>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Se cuenta con medición del ICET 2023 para los territorios que: i) Las Alcaldías o gobernaciones que diligenciaron información en: Formulario Único de Reporte y Avance de Gestión (FURAG) vigencia 2023 y en el cuestionario de Disponibilidad de la batería base de indicadores y ii) Las Alcaldías o gobernaciones sobre las cuales se diligenció el cuestionario de Satisfacción de usuarios de información estadística territorial, de mínimo una o dos (según categoría) de sus entidades usuarias. </w:t>
      </w:r>
    </w:p>
  </w:footnote>
  <w:footnote w:id="1">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ptos" w:cs="Aptos" w:eastAsia="Aptos" w:hAnsi="Aptos"/>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En las mediciones ICET anteriores a 2023, la subdimensión Uso de herramientas de procesamiento de datos estaba conformada por los indicadores: Uso de gestores de bases de datos en la entidad territorial para operaciones estadísticas, registros administrativos e indicadores; Uso de tableros de control para el seguimiento del Plan de Desarrollo Territorial y Herramientas de procesamiento de datos estadísticos. Para la medición ICET 2023, el indicador Uso de tableros de control para el seguimiento del Plan de Desarrollo Territorial fue excluido de la subdimensión, por lo que los resultados no son completamente comparables con vigencias anteriores.</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s-C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20" Type="http://schemas.openxmlformats.org/officeDocument/2006/relationships/image" Target="media/image4.png"/><Relationship Id="rId11" Type="http://schemas.openxmlformats.org/officeDocument/2006/relationships/image" Target="media/image10.png"/><Relationship Id="rId10" Type="http://schemas.openxmlformats.org/officeDocument/2006/relationships/image" Target="media/image2.png"/><Relationship Id="rId21" Type="http://schemas.openxmlformats.org/officeDocument/2006/relationships/image" Target="media/image9.png"/><Relationship Id="rId13" Type="http://schemas.openxmlformats.org/officeDocument/2006/relationships/image" Target="media/image12.png"/><Relationship Id="rId12" Type="http://schemas.openxmlformats.org/officeDocument/2006/relationships/image" Target="media/image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3.png"/><Relationship Id="rId15" Type="http://schemas.openxmlformats.org/officeDocument/2006/relationships/image" Target="media/image7.png"/><Relationship Id="rId14" Type="http://schemas.openxmlformats.org/officeDocument/2006/relationships/image" Target="media/image3.png"/><Relationship Id="rId17" Type="http://schemas.openxmlformats.org/officeDocument/2006/relationships/image" Target="media/image1.png"/><Relationship Id="rId16" Type="http://schemas.openxmlformats.org/officeDocument/2006/relationships/image" Target="media/image5.png"/><Relationship Id="rId5" Type="http://schemas.openxmlformats.org/officeDocument/2006/relationships/numbering" Target="numbering.xml"/><Relationship Id="rId19" Type="http://schemas.openxmlformats.org/officeDocument/2006/relationships/image" Target="media/image11.png"/><Relationship Id="rId6" Type="http://schemas.openxmlformats.org/officeDocument/2006/relationships/styles" Target="styles.xml"/><Relationship Id="rId18" Type="http://schemas.openxmlformats.org/officeDocument/2006/relationships/image" Target="media/image8.png"/><Relationship Id="rId7" Type="http://schemas.openxmlformats.org/officeDocument/2006/relationships/customXml" Target="../customXML/item1.xml"/><Relationship Id="rId8" Type="http://schemas.openxmlformats.org/officeDocument/2006/relationships/image" Target="media/image15.png"/></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7BpeTtWX2Kv5RLWDaRtKl7Yllg==">CgMxLjA4AGpJCjVzdWdnZXN0SWRJbXBvcnQ1NDQ3MGE0YS03NzI5LTRkNzItYTg3Ny1mY2IyYTQ3NTUyMDJfMRIQWW9zaGloaXJvIFRhbmFrYXIhMXVjVVZfWG5nc2FUOWVpS0hHNTV3bl9nbldENUlKSGt0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